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53CB" w14:textId="77777777" w:rsidR="00E832A7" w:rsidRPr="0027693E" w:rsidRDefault="00E832A7" w:rsidP="005F20FC">
      <w:pPr>
        <w:pStyle w:val="Paragraf"/>
      </w:pPr>
      <w:bookmarkStart w:id="0" w:name="_Toc370662598"/>
      <w:bookmarkStart w:id="1" w:name="_Toc365903510"/>
      <w:bookmarkStart w:id="2" w:name="_Toc365711969"/>
      <w:bookmarkStart w:id="3" w:name="_Toc365711951"/>
      <w:bookmarkStart w:id="4" w:name="_Toc365510508"/>
      <w:bookmarkStart w:id="5" w:name="_Toc365509912"/>
      <w:bookmarkStart w:id="6" w:name="_Toc364847047"/>
      <w:bookmarkStart w:id="7" w:name="_Toc436812876"/>
      <w:bookmarkStart w:id="8" w:name="_Toc370662597"/>
      <w:bookmarkStart w:id="9" w:name="_Toc478644218"/>
      <w:r w:rsidRPr="0027693E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17462B46" wp14:editId="79F6CA0F">
            <wp:simplePos x="0" y="0"/>
            <wp:positionH relativeFrom="column">
              <wp:posOffset>599440</wp:posOffset>
            </wp:positionH>
            <wp:positionV relativeFrom="paragraph">
              <wp:posOffset>-211455</wp:posOffset>
            </wp:positionV>
            <wp:extent cx="4495800" cy="4495800"/>
            <wp:effectExtent l="0" t="0" r="0" b="0"/>
            <wp:wrapNone/>
            <wp:docPr id="1" name="Picture 2" descr="Rund K-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nd K-log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445D74" w14:textId="77777777" w:rsidR="00E832A7" w:rsidRPr="0027693E" w:rsidRDefault="00E832A7" w:rsidP="00E832A7"/>
    <w:p w14:paraId="6FC1E249" w14:textId="77777777" w:rsidR="00E832A7" w:rsidRPr="0027693E" w:rsidRDefault="00E832A7" w:rsidP="00E832A7"/>
    <w:p w14:paraId="7C12FEBB" w14:textId="77777777" w:rsidR="00E832A7" w:rsidRPr="0027693E" w:rsidRDefault="00E832A7" w:rsidP="00E832A7"/>
    <w:p w14:paraId="7FC341A4" w14:textId="77777777" w:rsidR="00E832A7" w:rsidRPr="0027693E" w:rsidRDefault="00E832A7" w:rsidP="00E832A7"/>
    <w:p w14:paraId="00BA3E92" w14:textId="77777777" w:rsidR="00E832A7" w:rsidRPr="0027693E" w:rsidRDefault="00E832A7" w:rsidP="00E832A7"/>
    <w:p w14:paraId="03FF229C" w14:textId="77777777" w:rsidR="00E832A7" w:rsidRPr="0027693E" w:rsidRDefault="00E832A7" w:rsidP="00E832A7"/>
    <w:p w14:paraId="6DDF7DA8" w14:textId="77777777" w:rsidR="00E832A7" w:rsidRPr="0027693E" w:rsidRDefault="00E832A7" w:rsidP="00E832A7"/>
    <w:p w14:paraId="31E48A34" w14:textId="77777777" w:rsidR="00E832A7" w:rsidRPr="0027693E" w:rsidRDefault="00E832A7" w:rsidP="00E832A7"/>
    <w:p w14:paraId="2796C455" w14:textId="77777777" w:rsidR="00E832A7" w:rsidRPr="0027693E" w:rsidRDefault="00E832A7" w:rsidP="00E832A7"/>
    <w:p w14:paraId="5DF6C9BE" w14:textId="77777777" w:rsidR="00E832A7" w:rsidRPr="0027693E" w:rsidRDefault="00E832A7" w:rsidP="00E832A7"/>
    <w:p w14:paraId="5FA66832" w14:textId="77777777" w:rsidR="00E832A7" w:rsidRPr="0027693E" w:rsidRDefault="00E832A7" w:rsidP="00E832A7"/>
    <w:p w14:paraId="0DF82EC4" w14:textId="77777777" w:rsidR="00E832A7" w:rsidRPr="0027693E" w:rsidRDefault="00E832A7" w:rsidP="00E832A7"/>
    <w:p w14:paraId="0526DE90" w14:textId="77777777" w:rsidR="00E832A7" w:rsidRPr="0027693E" w:rsidRDefault="00E832A7" w:rsidP="00E832A7"/>
    <w:p w14:paraId="3F34E71F" w14:textId="77777777" w:rsidR="00E832A7" w:rsidRPr="0027693E" w:rsidRDefault="00E832A7" w:rsidP="00E832A7"/>
    <w:p w14:paraId="6B935B90" w14:textId="77777777" w:rsidR="00E832A7" w:rsidRPr="0027693E" w:rsidRDefault="00E832A7" w:rsidP="00E832A7"/>
    <w:p w14:paraId="0F2C9236" w14:textId="77777777" w:rsidR="00E832A7" w:rsidRPr="0027693E" w:rsidRDefault="00E832A7" w:rsidP="00E832A7"/>
    <w:p w14:paraId="3BF1CE80" w14:textId="77777777" w:rsidR="00E832A7" w:rsidRPr="0027693E" w:rsidRDefault="00E832A7" w:rsidP="00E832A7"/>
    <w:p w14:paraId="468BD6C5" w14:textId="77777777" w:rsidR="00E832A7" w:rsidRPr="0027693E" w:rsidRDefault="00E832A7" w:rsidP="00E832A7"/>
    <w:p w14:paraId="7DBB2E56" w14:textId="77777777" w:rsidR="00E832A7" w:rsidRPr="0027693E" w:rsidRDefault="00E832A7" w:rsidP="00E832A7"/>
    <w:p w14:paraId="10ED933B" w14:textId="77777777" w:rsidR="00E832A7" w:rsidRPr="0027693E" w:rsidRDefault="00E832A7" w:rsidP="00E832A7"/>
    <w:p w14:paraId="3742634A" w14:textId="77777777" w:rsidR="00C42C8D" w:rsidRPr="0027693E" w:rsidRDefault="00C42C8D" w:rsidP="00E832A7"/>
    <w:p w14:paraId="0535E6D3" w14:textId="77777777" w:rsidR="00E832A7" w:rsidRPr="0027693E" w:rsidRDefault="00E832A7" w:rsidP="00E832A7"/>
    <w:p w14:paraId="7FE4DC74" w14:textId="77777777" w:rsidR="00E832A7" w:rsidRPr="0027693E" w:rsidRDefault="00E832A7" w:rsidP="00E832A7"/>
    <w:p w14:paraId="09EA4A00" w14:textId="77777777" w:rsidR="00E832A7" w:rsidRPr="0027693E" w:rsidRDefault="00E832A7" w:rsidP="00E832A7">
      <w:pPr>
        <w:tabs>
          <w:tab w:val="left" w:pos="7800"/>
        </w:tabs>
      </w:pPr>
      <w:r w:rsidRPr="0027693E">
        <w:tab/>
      </w:r>
    </w:p>
    <w:p w14:paraId="7C259F37" w14:textId="77777777" w:rsidR="00E832A7" w:rsidRPr="0027693E" w:rsidRDefault="00E832A7" w:rsidP="00E832A7"/>
    <w:p w14:paraId="4A59EA2E" w14:textId="77777777" w:rsidR="00E832A7" w:rsidRPr="0027693E" w:rsidRDefault="00E832A7" w:rsidP="00E832A7"/>
    <w:p w14:paraId="7679C172" w14:textId="5393FA45" w:rsidR="00E832A7" w:rsidRPr="0027693E" w:rsidRDefault="00640AAC" w:rsidP="00E832A7">
      <w:pPr>
        <w:jc w:val="center"/>
        <w:rPr>
          <w:b/>
          <w:sz w:val="72"/>
        </w:rPr>
      </w:pPr>
      <w:r>
        <w:rPr>
          <w:b/>
          <w:sz w:val="72"/>
        </w:rPr>
        <w:t>Riktlinje för Betalsystem</w:t>
      </w:r>
    </w:p>
    <w:p w14:paraId="3F1EE698" w14:textId="77777777" w:rsidR="00C42C8D" w:rsidRPr="0027693E" w:rsidRDefault="00C42C8D" w:rsidP="00E742FB">
      <w:pPr>
        <w:rPr>
          <w:b/>
          <w:sz w:val="52"/>
        </w:rPr>
      </w:pPr>
    </w:p>
    <w:p w14:paraId="7BC0AF94" w14:textId="77777777" w:rsidR="00E742FB" w:rsidRPr="0027693E" w:rsidRDefault="00E742FB" w:rsidP="00E832A7">
      <w:pPr>
        <w:jc w:val="center"/>
        <w:rPr>
          <w:b/>
          <w:sz w:val="44"/>
        </w:rPr>
      </w:pPr>
    </w:p>
    <w:p w14:paraId="09708D71" w14:textId="77777777" w:rsidR="00E742FB" w:rsidRPr="0027693E" w:rsidRDefault="00E742FB" w:rsidP="00E832A7">
      <w:pPr>
        <w:jc w:val="center"/>
        <w:rPr>
          <w:b/>
          <w:sz w:val="44"/>
        </w:rPr>
      </w:pPr>
    </w:p>
    <w:p w14:paraId="3DEEEB7D" w14:textId="0F17BD48" w:rsidR="00E742FB" w:rsidRPr="0027693E" w:rsidRDefault="00E742FB" w:rsidP="00E832A7">
      <w:pPr>
        <w:jc w:val="center"/>
        <w:rPr>
          <w:b/>
          <w:sz w:val="44"/>
        </w:rPr>
      </w:pPr>
    </w:p>
    <w:p w14:paraId="3CCCA887" w14:textId="77777777" w:rsidR="00E832A7" w:rsidRPr="0027693E" w:rsidRDefault="00E832A7" w:rsidP="00E832A7">
      <w:pPr>
        <w:jc w:val="center"/>
        <w:rPr>
          <w:b/>
          <w:sz w:val="44"/>
        </w:rPr>
      </w:pPr>
      <w:r w:rsidRPr="0027693E">
        <w:rPr>
          <w:b/>
          <w:sz w:val="44"/>
        </w:rPr>
        <w:t xml:space="preserve">Kemi- och </w:t>
      </w:r>
    </w:p>
    <w:p w14:paraId="126A2906" w14:textId="77777777" w:rsidR="00E832A7" w:rsidRPr="0027693E" w:rsidRDefault="00E832A7" w:rsidP="00E832A7">
      <w:pPr>
        <w:jc w:val="center"/>
        <w:rPr>
          <w:b/>
          <w:sz w:val="44"/>
        </w:rPr>
      </w:pPr>
      <w:r w:rsidRPr="0027693E">
        <w:rPr>
          <w:b/>
          <w:sz w:val="44"/>
        </w:rPr>
        <w:t>Biotekniksektionen</w:t>
      </w:r>
    </w:p>
    <w:p w14:paraId="0DB486D3" w14:textId="77777777" w:rsidR="00E832A7" w:rsidRPr="0027693E" w:rsidRDefault="00E832A7" w:rsidP="00E832A7">
      <w:pPr>
        <w:rPr>
          <w:b/>
        </w:rPr>
      </w:pPr>
    </w:p>
    <w:p w14:paraId="61A5169B" w14:textId="77777777" w:rsidR="00E832A7" w:rsidRPr="0027693E" w:rsidRDefault="00E832A7" w:rsidP="00E832A7">
      <w:pPr>
        <w:rPr>
          <w:b/>
        </w:rPr>
      </w:pPr>
    </w:p>
    <w:p w14:paraId="15611CDE" w14:textId="77777777" w:rsidR="00E832A7" w:rsidRPr="0027693E" w:rsidRDefault="00E832A7" w:rsidP="00E832A7">
      <w:pPr>
        <w:rPr>
          <w:b/>
        </w:rPr>
      </w:pPr>
    </w:p>
    <w:p w14:paraId="499D1AFC" w14:textId="77777777" w:rsidR="00E832A7" w:rsidRPr="0027693E" w:rsidRDefault="00E832A7" w:rsidP="00E832A7">
      <w:pPr>
        <w:rPr>
          <w:b/>
        </w:rPr>
      </w:pPr>
    </w:p>
    <w:p w14:paraId="2B210114" w14:textId="77777777" w:rsidR="00E832A7" w:rsidRPr="0027693E" w:rsidRDefault="00E832A7" w:rsidP="00E832A7">
      <w:pPr>
        <w:rPr>
          <w:b/>
        </w:rPr>
      </w:pPr>
    </w:p>
    <w:p w14:paraId="2C331357" w14:textId="77777777" w:rsidR="00E832A7" w:rsidRPr="0027693E" w:rsidRDefault="00E832A7" w:rsidP="00E832A7">
      <w:pPr>
        <w:rPr>
          <w:b/>
        </w:rPr>
      </w:pPr>
    </w:p>
    <w:p w14:paraId="3E79B77D" w14:textId="77777777" w:rsidR="00E832A7" w:rsidRPr="0027693E" w:rsidRDefault="00E832A7" w:rsidP="00E832A7">
      <w:pPr>
        <w:rPr>
          <w:b/>
        </w:rPr>
      </w:pPr>
    </w:p>
    <w:p w14:paraId="5E8109CE" w14:textId="77777777" w:rsidR="00E832A7" w:rsidRPr="0027693E" w:rsidRDefault="00E832A7" w:rsidP="00E832A7">
      <w:pPr>
        <w:jc w:val="center"/>
        <w:rPr>
          <w:b/>
        </w:rPr>
      </w:pPr>
    </w:p>
    <w:p w14:paraId="2641FC87" w14:textId="77777777" w:rsidR="00E832A7" w:rsidRPr="0027693E" w:rsidRDefault="00E832A7" w:rsidP="00E742FB">
      <w:pPr>
        <w:rPr>
          <w:b/>
        </w:rPr>
      </w:pPr>
    </w:p>
    <w:p w14:paraId="2333F937" w14:textId="77777777" w:rsidR="00E832A7" w:rsidRPr="0027693E" w:rsidRDefault="00E832A7" w:rsidP="00E832A7">
      <w:pPr>
        <w:jc w:val="center"/>
        <w:rPr>
          <w:b/>
        </w:rPr>
      </w:pPr>
    </w:p>
    <w:p w14:paraId="1BEC864E" w14:textId="77777777" w:rsidR="00E832A7" w:rsidRPr="0027693E" w:rsidRDefault="00E832A7" w:rsidP="00E832A7">
      <w:pPr>
        <w:jc w:val="center"/>
        <w:rPr>
          <w:b/>
        </w:rPr>
      </w:pPr>
    </w:p>
    <w:p w14:paraId="5BE91136" w14:textId="77777777" w:rsidR="00E832A7" w:rsidRPr="0027693E" w:rsidRDefault="00E832A7" w:rsidP="00E832A7">
      <w:pPr>
        <w:jc w:val="center"/>
        <w:rPr>
          <w:b/>
        </w:rPr>
      </w:pPr>
      <w:r w:rsidRPr="0027693E">
        <w:rPr>
          <w:b/>
        </w:rPr>
        <w:t>Teknologkåren vid Lunds Tekniska Högskola</w:t>
      </w:r>
    </w:p>
    <w:p w14:paraId="7E1E094D" w14:textId="3C76552A" w:rsidR="00E742FB" w:rsidRPr="0027693E" w:rsidRDefault="00640AAC" w:rsidP="00E742FB">
      <w:pPr>
        <w:jc w:val="center"/>
      </w:pPr>
      <w:r>
        <w:t>2018-09-17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2F498BD8" w14:textId="77777777" w:rsidR="00640AAC" w:rsidRDefault="00640AAC" w:rsidP="00C62A4F">
      <w:pPr>
        <w:pStyle w:val="TOCHeading"/>
        <w:spacing w:line="240" w:lineRule="auto"/>
        <w:jc w:val="center"/>
        <w:rPr>
          <w:rFonts w:eastAsiaTheme="minorHAnsi" w:cstheme="minorBidi"/>
          <w:b w:val="0"/>
          <w:bCs w:val="0"/>
          <w:color w:val="auto"/>
          <w:sz w:val="24"/>
          <w:szCs w:val="22"/>
          <w:lang w:eastAsia="en-US"/>
        </w:rPr>
      </w:pPr>
    </w:p>
    <w:sdt>
      <w:sdtPr>
        <w:rPr>
          <w:rFonts w:eastAsiaTheme="minorHAnsi" w:cstheme="minorBidi"/>
          <w:b w:val="0"/>
          <w:bCs w:val="0"/>
          <w:color w:val="auto"/>
          <w:sz w:val="24"/>
          <w:szCs w:val="22"/>
          <w:lang w:eastAsia="en-US"/>
        </w:rPr>
        <w:id w:val="-774405215"/>
        <w:docPartObj>
          <w:docPartGallery w:val="Table of Contents"/>
          <w:docPartUnique/>
        </w:docPartObj>
      </w:sdtPr>
      <w:sdtEndPr>
        <w:rPr>
          <w:rFonts w:eastAsiaTheme="majorEastAsia" w:cstheme="majorBidi"/>
          <w:bCs/>
          <w:color w:val="000000" w:themeColor="text1"/>
          <w:sz w:val="28"/>
          <w:szCs w:val="28"/>
          <w:lang w:eastAsia="sv-SE"/>
        </w:rPr>
      </w:sdtEndPr>
      <w:sdtContent>
        <w:p w14:paraId="2B9E7FB0" w14:textId="77777777" w:rsidR="00C0236D" w:rsidRDefault="00D6057A" w:rsidP="00C62A4F">
          <w:pPr>
            <w:pStyle w:val="TOCHeading"/>
            <w:spacing w:line="240" w:lineRule="auto"/>
            <w:jc w:val="center"/>
            <w:rPr>
              <w:noProof/>
            </w:rPr>
          </w:pPr>
          <w:r w:rsidRPr="0027693E">
            <w:rPr>
              <w:color w:val="auto"/>
              <w:sz w:val="36"/>
            </w:rPr>
            <w:t>Innehåll</w:t>
          </w:r>
          <w:r w:rsidR="00091368" w:rsidRPr="0027693E">
            <w:rPr>
              <w:color w:val="auto"/>
              <w:sz w:val="36"/>
            </w:rPr>
            <w:t>sförteckning</w:t>
          </w:r>
          <w:r w:rsidR="00C62A4F">
            <w:rPr>
              <w:b w:val="0"/>
              <w:sz w:val="22"/>
              <w:szCs w:val="22"/>
            </w:rPr>
            <w:fldChar w:fldCharType="begin"/>
          </w:r>
          <w:r w:rsidR="00C62A4F">
            <w:rPr>
              <w:b w:val="0"/>
              <w:sz w:val="22"/>
              <w:szCs w:val="22"/>
            </w:rPr>
            <w:instrText xml:space="preserve"> TOC \t "Rubrik 2;1;Rubrik 5;2" </w:instrText>
          </w:r>
          <w:r w:rsidR="00C62A4F">
            <w:rPr>
              <w:b w:val="0"/>
              <w:sz w:val="22"/>
              <w:szCs w:val="22"/>
            </w:rPr>
            <w:fldChar w:fldCharType="separate"/>
          </w:r>
        </w:p>
        <w:p w14:paraId="7A9546F8" w14:textId="0359ADDD" w:rsidR="00C0236D" w:rsidRDefault="00C0236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r>
            <w:rPr>
              <w:noProof/>
            </w:rPr>
            <w:t>§1 Historik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_Toc525474971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76EC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4BD09599" w14:textId="2EAC66E5" w:rsidR="00C0236D" w:rsidRDefault="00C0236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r>
            <w:rPr>
              <w:noProof/>
            </w:rPr>
            <w:t>§2 Syfte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_Toc525474972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76EC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1C07F204" w14:textId="01AD000C" w:rsidR="00C0236D" w:rsidRDefault="00C0236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r>
            <w:rPr>
              <w:noProof/>
            </w:rPr>
            <w:t>§3 Kontanter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_Toc525474973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76EC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77DC3859" w14:textId="2230EE9F" w:rsidR="00C0236D" w:rsidRDefault="00C0236D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§3:1 Användningsområde</w:t>
          </w:r>
          <w:r>
            <w:tab/>
          </w:r>
          <w:r>
            <w:fldChar w:fldCharType="begin"/>
          </w:r>
          <w:r>
            <w:instrText xml:space="preserve"> PAGEREF _Toc525474974 \h </w:instrText>
          </w:r>
          <w:r>
            <w:fldChar w:fldCharType="separate"/>
          </w:r>
          <w:r w:rsidR="00076EC7">
            <w:t>2</w:t>
          </w:r>
          <w:r>
            <w:fldChar w:fldCharType="end"/>
          </w:r>
        </w:p>
        <w:p w14:paraId="566AB7AD" w14:textId="72400862" w:rsidR="00C0236D" w:rsidRDefault="00C0236D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§3:2 Avgifter</w:t>
          </w:r>
          <w:r>
            <w:tab/>
          </w:r>
          <w:r>
            <w:fldChar w:fldCharType="begin"/>
          </w:r>
          <w:r>
            <w:instrText xml:space="preserve"> PAGEREF _Toc525474975 \h </w:instrText>
          </w:r>
          <w:r>
            <w:fldChar w:fldCharType="separate"/>
          </w:r>
          <w:r w:rsidR="00076EC7">
            <w:t>2</w:t>
          </w:r>
          <w:r>
            <w:fldChar w:fldCharType="end"/>
          </w:r>
        </w:p>
        <w:p w14:paraId="57153FBD" w14:textId="0106BB4F" w:rsidR="00C0236D" w:rsidRDefault="00C0236D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§3:3 Regler</w:t>
          </w:r>
          <w:r>
            <w:tab/>
          </w:r>
          <w:r>
            <w:fldChar w:fldCharType="begin"/>
          </w:r>
          <w:r>
            <w:instrText xml:space="preserve"> PAGEREF _Toc525474976 \h </w:instrText>
          </w:r>
          <w:r>
            <w:fldChar w:fldCharType="separate"/>
          </w:r>
          <w:r w:rsidR="00076EC7">
            <w:t>2</w:t>
          </w:r>
          <w:r>
            <w:fldChar w:fldCharType="end"/>
          </w:r>
        </w:p>
        <w:p w14:paraId="653B11F8" w14:textId="503CC26F" w:rsidR="00C0236D" w:rsidRDefault="00C0236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r>
            <w:rPr>
              <w:noProof/>
            </w:rPr>
            <w:t xml:space="preserve">§4 </w:t>
          </w:r>
          <w:r w:rsidR="00BA72D9">
            <w:rPr>
              <w:noProof/>
            </w:rPr>
            <w:t>Zettle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_Toc525474977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76EC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262D4EE8" w14:textId="448761BB" w:rsidR="00C0236D" w:rsidRDefault="00C0236D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§4:1 Användningsområde</w:t>
          </w:r>
          <w:r>
            <w:tab/>
          </w:r>
          <w:r>
            <w:fldChar w:fldCharType="begin"/>
          </w:r>
          <w:r>
            <w:instrText xml:space="preserve"> PAGEREF _Toc525474978 \h </w:instrText>
          </w:r>
          <w:r>
            <w:fldChar w:fldCharType="separate"/>
          </w:r>
          <w:r w:rsidR="00076EC7">
            <w:t>2</w:t>
          </w:r>
          <w:r>
            <w:fldChar w:fldCharType="end"/>
          </w:r>
        </w:p>
        <w:p w14:paraId="3338DEC4" w14:textId="27708759" w:rsidR="00C0236D" w:rsidRDefault="00C0236D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§4:2 Avgifter</w:t>
          </w:r>
          <w:r>
            <w:tab/>
          </w:r>
          <w:r>
            <w:fldChar w:fldCharType="begin"/>
          </w:r>
          <w:r>
            <w:instrText xml:space="preserve"> PAGEREF _Toc525474979 \h </w:instrText>
          </w:r>
          <w:r>
            <w:fldChar w:fldCharType="separate"/>
          </w:r>
          <w:r w:rsidR="00076EC7">
            <w:t>3</w:t>
          </w:r>
          <w:r>
            <w:fldChar w:fldCharType="end"/>
          </w:r>
        </w:p>
        <w:p w14:paraId="27C6DFCB" w14:textId="18FB6CD5" w:rsidR="00C0236D" w:rsidRDefault="00C0236D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§4:3 Regler</w:t>
          </w:r>
          <w:r>
            <w:tab/>
          </w:r>
          <w:r>
            <w:fldChar w:fldCharType="begin"/>
          </w:r>
          <w:r>
            <w:instrText xml:space="preserve"> PAGEREF _Toc525474980 \h </w:instrText>
          </w:r>
          <w:r>
            <w:fldChar w:fldCharType="separate"/>
          </w:r>
          <w:r w:rsidR="00076EC7">
            <w:t>3</w:t>
          </w:r>
          <w:r>
            <w:fldChar w:fldCharType="end"/>
          </w:r>
        </w:p>
        <w:p w14:paraId="13843961" w14:textId="6E44E3D3" w:rsidR="00C0236D" w:rsidRDefault="00C0236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r>
            <w:rPr>
              <w:noProof/>
            </w:rPr>
            <w:t>§5 Swish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_Toc525474981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76EC7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299EE6B" w14:textId="663F52F2" w:rsidR="00C0236D" w:rsidRDefault="00C0236D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§5:1 Användningsområde</w:t>
          </w:r>
          <w:r>
            <w:tab/>
          </w:r>
          <w:r>
            <w:fldChar w:fldCharType="begin"/>
          </w:r>
          <w:r>
            <w:instrText xml:space="preserve"> PAGEREF _Toc525474982 \h </w:instrText>
          </w:r>
          <w:r>
            <w:fldChar w:fldCharType="separate"/>
          </w:r>
          <w:r w:rsidR="00076EC7">
            <w:t>3</w:t>
          </w:r>
          <w:r>
            <w:fldChar w:fldCharType="end"/>
          </w:r>
        </w:p>
        <w:p w14:paraId="765C50D7" w14:textId="7FB5590F" w:rsidR="00C0236D" w:rsidRDefault="00C0236D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§5:2 Avgifter</w:t>
          </w:r>
          <w:r>
            <w:tab/>
          </w:r>
          <w:r>
            <w:fldChar w:fldCharType="begin"/>
          </w:r>
          <w:r>
            <w:instrText xml:space="preserve"> PAGEREF _Toc525474983 \h </w:instrText>
          </w:r>
          <w:r>
            <w:fldChar w:fldCharType="separate"/>
          </w:r>
          <w:r w:rsidR="00076EC7">
            <w:t>3</w:t>
          </w:r>
          <w:r>
            <w:fldChar w:fldCharType="end"/>
          </w:r>
        </w:p>
        <w:p w14:paraId="4E963D5E" w14:textId="44242557" w:rsidR="00C0236D" w:rsidRDefault="00C0236D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§5:3 Regler</w:t>
          </w:r>
          <w:r>
            <w:tab/>
          </w:r>
          <w:r>
            <w:fldChar w:fldCharType="begin"/>
          </w:r>
          <w:r>
            <w:instrText xml:space="preserve"> PAGEREF _Toc525474984 \h </w:instrText>
          </w:r>
          <w:r>
            <w:fldChar w:fldCharType="separate"/>
          </w:r>
          <w:r w:rsidR="00076EC7">
            <w:t>3</w:t>
          </w:r>
          <w:r>
            <w:fldChar w:fldCharType="end"/>
          </w:r>
        </w:p>
        <w:p w14:paraId="74BD2353" w14:textId="3431A9A5" w:rsidR="00C0236D" w:rsidRDefault="00C0236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r>
            <w:rPr>
              <w:noProof/>
            </w:rPr>
            <w:t xml:space="preserve">§6 </w:t>
          </w:r>
          <w:r w:rsidR="00BA72D9">
            <w:rPr>
              <w:noProof/>
            </w:rPr>
            <w:t>Bonsai Pay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_Toc525474985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76EC7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70121BD" w14:textId="05CEFECF" w:rsidR="00C0236D" w:rsidRDefault="00C0236D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§6:1 Användningsområde</w:t>
          </w:r>
          <w:r>
            <w:tab/>
          </w:r>
          <w:r>
            <w:fldChar w:fldCharType="begin"/>
          </w:r>
          <w:r>
            <w:instrText xml:space="preserve"> PAGEREF _Toc525474986 \h </w:instrText>
          </w:r>
          <w:r>
            <w:fldChar w:fldCharType="separate"/>
          </w:r>
          <w:r w:rsidR="00076EC7">
            <w:t>4</w:t>
          </w:r>
          <w:r>
            <w:fldChar w:fldCharType="end"/>
          </w:r>
        </w:p>
        <w:p w14:paraId="2178096F" w14:textId="58FF948E" w:rsidR="00C0236D" w:rsidRDefault="00C0236D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§6:2 Avgifter</w:t>
          </w:r>
          <w:r>
            <w:tab/>
          </w:r>
          <w:r>
            <w:fldChar w:fldCharType="begin"/>
          </w:r>
          <w:r>
            <w:instrText xml:space="preserve"> PAGEREF _Toc525474987 \h </w:instrText>
          </w:r>
          <w:r>
            <w:fldChar w:fldCharType="separate"/>
          </w:r>
          <w:r w:rsidR="00076EC7">
            <w:t>4</w:t>
          </w:r>
          <w:r>
            <w:fldChar w:fldCharType="end"/>
          </w:r>
        </w:p>
        <w:p w14:paraId="150E9C87" w14:textId="06244395" w:rsidR="00C0236D" w:rsidRDefault="00C0236D">
          <w:pPr>
            <w:pStyle w:val="TOC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sv-SE"/>
            </w:rPr>
          </w:pPr>
          <w:r>
            <w:t>§6:3 Regler</w:t>
          </w:r>
          <w:r>
            <w:tab/>
          </w:r>
          <w:r>
            <w:fldChar w:fldCharType="begin"/>
          </w:r>
          <w:r>
            <w:instrText xml:space="preserve"> PAGEREF _Toc525474988 \h </w:instrText>
          </w:r>
          <w:r>
            <w:fldChar w:fldCharType="separate"/>
          </w:r>
          <w:r w:rsidR="00076EC7">
            <w:t>4</w:t>
          </w:r>
          <w:r>
            <w:fldChar w:fldCharType="end"/>
          </w:r>
        </w:p>
        <w:p w14:paraId="12F46E45" w14:textId="1A1E40C8" w:rsidR="00D6057A" w:rsidRPr="0027693E" w:rsidRDefault="00C62A4F" w:rsidP="00C62A4F">
          <w:pPr>
            <w:pStyle w:val="TOCHeading"/>
            <w:spacing w:line="240" w:lineRule="auto"/>
            <w:jc w:val="center"/>
            <w:rPr>
              <w:b w:val="0"/>
            </w:rPr>
          </w:pPr>
          <w:r>
            <w:rPr>
              <w:b w:val="0"/>
              <w:sz w:val="22"/>
              <w:szCs w:val="22"/>
            </w:rPr>
            <w:fldChar w:fldCharType="end"/>
          </w:r>
        </w:p>
      </w:sdtContent>
    </w:sdt>
    <w:p w14:paraId="705250A1" w14:textId="6EA19668" w:rsidR="00A860F7" w:rsidRPr="00640AAC" w:rsidRDefault="00694E09" w:rsidP="00640AAC">
      <w:pPr>
        <w:rPr>
          <w:rFonts w:eastAsiaTheme="majorEastAsia" w:cstheme="majorBidi"/>
          <w:b/>
          <w:color w:val="000000" w:themeColor="text1"/>
          <w:sz w:val="40"/>
          <w:szCs w:val="32"/>
        </w:rPr>
      </w:pPr>
      <w:bookmarkStart w:id="10" w:name="_Toc482301057"/>
      <w:r w:rsidRPr="0027693E">
        <w:br w:type="page"/>
      </w:r>
      <w:bookmarkEnd w:id="1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0"/>
      </w:tblGrid>
      <w:tr w:rsidR="00300EA9" w:rsidRPr="0027693E" w14:paraId="3C42B3CC" w14:textId="77777777" w:rsidTr="00DD1415">
        <w:trPr>
          <w:trHeight w:val="71"/>
        </w:trPr>
        <w:tc>
          <w:tcPr>
            <w:tcW w:w="4106" w:type="dxa"/>
          </w:tcPr>
          <w:p w14:paraId="1A785475" w14:textId="5A96895A" w:rsidR="00300EA9" w:rsidRPr="0027693E" w:rsidRDefault="00A860F7" w:rsidP="00640AAC">
            <w:pPr>
              <w:pStyle w:val="Heading2"/>
            </w:pPr>
            <w:bookmarkStart w:id="11" w:name="_Toc482526195"/>
            <w:bookmarkStart w:id="12" w:name="_Toc482534114"/>
            <w:bookmarkStart w:id="13" w:name="_Toc482545977"/>
            <w:bookmarkStart w:id="14" w:name="_Toc525474971"/>
            <w:r w:rsidRPr="0027693E">
              <w:lastRenderedPageBreak/>
              <w:t>§1</w:t>
            </w:r>
            <w:bookmarkEnd w:id="11"/>
            <w:bookmarkEnd w:id="12"/>
            <w:bookmarkEnd w:id="13"/>
            <w:r w:rsidR="00967816" w:rsidRPr="0027693E">
              <w:t xml:space="preserve"> </w:t>
            </w:r>
            <w:r w:rsidR="00640AAC">
              <w:t>Historik</w:t>
            </w:r>
            <w:bookmarkEnd w:id="14"/>
          </w:p>
        </w:tc>
        <w:tc>
          <w:tcPr>
            <w:tcW w:w="4950" w:type="dxa"/>
          </w:tcPr>
          <w:p w14:paraId="154CBEDC" w14:textId="2340CF92" w:rsidR="00350C4A" w:rsidRPr="0027693E" w:rsidRDefault="00350C4A" w:rsidP="00734446">
            <w:pPr>
              <w:pStyle w:val="Paragraf"/>
            </w:pPr>
          </w:p>
        </w:tc>
      </w:tr>
      <w:tr w:rsidR="002736A9" w:rsidRPr="0027693E" w14:paraId="17B0D735" w14:textId="77777777" w:rsidTr="00DD1415">
        <w:trPr>
          <w:trHeight w:val="264"/>
        </w:trPr>
        <w:tc>
          <w:tcPr>
            <w:tcW w:w="4106" w:type="dxa"/>
          </w:tcPr>
          <w:p w14:paraId="63F38391" w14:textId="77777777" w:rsidR="002736A9" w:rsidRPr="0027693E" w:rsidRDefault="002736A9" w:rsidP="00967816">
            <w:pPr>
              <w:pStyle w:val="Paragraf"/>
            </w:pPr>
          </w:p>
        </w:tc>
        <w:tc>
          <w:tcPr>
            <w:tcW w:w="4950" w:type="dxa"/>
          </w:tcPr>
          <w:p w14:paraId="100B2C58" w14:textId="178CBF6C" w:rsidR="002736A9" w:rsidRPr="0027693E" w:rsidRDefault="00640AAC" w:rsidP="00E832A7">
            <w:pPr>
              <w:pStyle w:val="Paragraf"/>
            </w:pPr>
            <w:r>
              <w:t>Denna Riktlinje antogs på Styrelsens femte protokollmöte 2018</w:t>
            </w:r>
            <w:r w:rsidR="008E51E0">
              <w:t xml:space="preserve"> och ändrades senast på Styrelsens sjätte Protokollmöte 2021.</w:t>
            </w:r>
          </w:p>
        </w:tc>
      </w:tr>
      <w:tr w:rsidR="002736A9" w:rsidRPr="0027693E" w14:paraId="73E9C10E" w14:textId="77777777" w:rsidTr="00DD1415">
        <w:trPr>
          <w:trHeight w:val="71"/>
        </w:trPr>
        <w:tc>
          <w:tcPr>
            <w:tcW w:w="4106" w:type="dxa"/>
          </w:tcPr>
          <w:p w14:paraId="1582CC84" w14:textId="21F1DB43" w:rsidR="002736A9" w:rsidRPr="0027693E" w:rsidRDefault="002736A9" w:rsidP="002736A9">
            <w:pPr>
              <w:pStyle w:val="Heading5"/>
            </w:pPr>
          </w:p>
        </w:tc>
        <w:tc>
          <w:tcPr>
            <w:tcW w:w="4950" w:type="dxa"/>
          </w:tcPr>
          <w:p w14:paraId="55ECAE5B" w14:textId="77777777" w:rsidR="002736A9" w:rsidRPr="0027693E" w:rsidRDefault="002736A9" w:rsidP="002736A9">
            <w:pPr>
              <w:pStyle w:val="Paragraf"/>
            </w:pPr>
          </w:p>
        </w:tc>
      </w:tr>
      <w:tr w:rsidR="002736A9" w:rsidRPr="0027693E" w14:paraId="3E3F750E" w14:textId="77777777" w:rsidTr="00DD1415">
        <w:trPr>
          <w:trHeight w:val="71"/>
        </w:trPr>
        <w:tc>
          <w:tcPr>
            <w:tcW w:w="4106" w:type="dxa"/>
          </w:tcPr>
          <w:p w14:paraId="104BB083" w14:textId="3F9227EE" w:rsidR="002736A9" w:rsidRPr="0027693E" w:rsidRDefault="00640AAC" w:rsidP="00640AAC">
            <w:pPr>
              <w:pStyle w:val="Heading2"/>
            </w:pPr>
            <w:bookmarkStart w:id="15" w:name="_Toc482526196"/>
            <w:bookmarkStart w:id="16" w:name="_Toc482534115"/>
            <w:bookmarkStart w:id="17" w:name="_Toc482545978"/>
            <w:bookmarkStart w:id="18" w:name="_Toc525474972"/>
            <w:r>
              <w:t>§</w:t>
            </w:r>
            <w:r w:rsidR="002736A9" w:rsidRPr="0027693E">
              <w:t xml:space="preserve">2 </w:t>
            </w:r>
            <w:bookmarkEnd w:id="15"/>
            <w:bookmarkEnd w:id="16"/>
            <w:bookmarkEnd w:id="17"/>
            <w:r>
              <w:t>Syfte</w:t>
            </w:r>
            <w:bookmarkEnd w:id="18"/>
          </w:p>
        </w:tc>
        <w:tc>
          <w:tcPr>
            <w:tcW w:w="4950" w:type="dxa"/>
          </w:tcPr>
          <w:p w14:paraId="42BF4178" w14:textId="77777777" w:rsidR="002736A9" w:rsidRPr="0027693E" w:rsidRDefault="002736A9" w:rsidP="002736A9">
            <w:pPr>
              <w:pStyle w:val="Paragraf"/>
            </w:pPr>
          </w:p>
        </w:tc>
      </w:tr>
      <w:tr w:rsidR="0027693E" w:rsidRPr="0027693E" w14:paraId="3E0EF143" w14:textId="77777777" w:rsidTr="00DD1415">
        <w:trPr>
          <w:trHeight w:val="71"/>
        </w:trPr>
        <w:tc>
          <w:tcPr>
            <w:tcW w:w="4106" w:type="dxa"/>
          </w:tcPr>
          <w:p w14:paraId="6F4F66EB" w14:textId="77777777" w:rsidR="0027693E" w:rsidRPr="0027693E" w:rsidRDefault="0027693E" w:rsidP="00967816">
            <w:pPr>
              <w:pStyle w:val="Heading5"/>
            </w:pPr>
          </w:p>
        </w:tc>
        <w:tc>
          <w:tcPr>
            <w:tcW w:w="4950" w:type="dxa"/>
          </w:tcPr>
          <w:p w14:paraId="542C2EDF" w14:textId="2EBBEDD0" w:rsidR="0027693E" w:rsidRPr="0027693E" w:rsidRDefault="00640AAC" w:rsidP="002736A9">
            <w:pPr>
              <w:pStyle w:val="Paragraf"/>
            </w:pPr>
            <w:r>
              <w:t xml:space="preserve">Syftet med Riktlinjen </w:t>
            </w:r>
            <w:r w:rsidR="00194D89">
              <w:t xml:space="preserve">är att samla information och regler om de betalningssystem som Sektionen använder. </w:t>
            </w:r>
          </w:p>
        </w:tc>
      </w:tr>
      <w:tr w:rsidR="002736A9" w:rsidRPr="0027693E" w14:paraId="45F62D3B" w14:textId="77777777" w:rsidTr="00DD1415">
        <w:trPr>
          <w:trHeight w:val="71"/>
        </w:trPr>
        <w:tc>
          <w:tcPr>
            <w:tcW w:w="4106" w:type="dxa"/>
          </w:tcPr>
          <w:p w14:paraId="7BB01BA2" w14:textId="0438D64D" w:rsidR="002736A9" w:rsidRPr="0027693E" w:rsidRDefault="002736A9" w:rsidP="00194D89">
            <w:pPr>
              <w:pStyle w:val="Heading5"/>
            </w:pPr>
          </w:p>
        </w:tc>
        <w:tc>
          <w:tcPr>
            <w:tcW w:w="4950" w:type="dxa"/>
          </w:tcPr>
          <w:p w14:paraId="2E211382" w14:textId="77777777" w:rsidR="002736A9" w:rsidRPr="0027693E" w:rsidRDefault="002736A9" w:rsidP="002736A9">
            <w:pPr>
              <w:pStyle w:val="Paragraf"/>
            </w:pPr>
          </w:p>
        </w:tc>
      </w:tr>
      <w:tr w:rsidR="00021EF7" w:rsidRPr="0027693E" w14:paraId="0164F29B" w14:textId="77777777" w:rsidTr="00742C63">
        <w:trPr>
          <w:trHeight w:val="71"/>
        </w:trPr>
        <w:tc>
          <w:tcPr>
            <w:tcW w:w="4106" w:type="dxa"/>
          </w:tcPr>
          <w:p w14:paraId="2C5D3BB2" w14:textId="0FAC58FB" w:rsidR="00021EF7" w:rsidRPr="0027693E" w:rsidRDefault="00021EF7" w:rsidP="00021EF7">
            <w:pPr>
              <w:pStyle w:val="Heading2"/>
            </w:pPr>
            <w:bookmarkStart w:id="19" w:name="_Toc525474973"/>
            <w:r>
              <w:t>§3 Kontanter</w:t>
            </w:r>
            <w:bookmarkEnd w:id="19"/>
          </w:p>
        </w:tc>
        <w:tc>
          <w:tcPr>
            <w:tcW w:w="4950" w:type="dxa"/>
          </w:tcPr>
          <w:p w14:paraId="0FC7DC8E" w14:textId="77777777" w:rsidR="00021EF7" w:rsidRPr="0027693E" w:rsidRDefault="00021EF7" w:rsidP="00742C63">
            <w:pPr>
              <w:pStyle w:val="Paragraf"/>
            </w:pPr>
          </w:p>
        </w:tc>
      </w:tr>
      <w:tr w:rsidR="00021EF7" w:rsidRPr="0027693E" w14:paraId="5FC289A3" w14:textId="77777777" w:rsidTr="00742C63">
        <w:trPr>
          <w:trHeight w:val="71"/>
        </w:trPr>
        <w:tc>
          <w:tcPr>
            <w:tcW w:w="4106" w:type="dxa"/>
          </w:tcPr>
          <w:p w14:paraId="18BBCE92" w14:textId="77777777" w:rsidR="00021EF7" w:rsidRPr="0027693E" w:rsidRDefault="00021EF7" w:rsidP="00742C63">
            <w:pPr>
              <w:pStyle w:val="Heading5"/>
            </w:pPr>
          </w:p>
        </w:tc>
        <w:tc>
          <w:tcPr>
            <w:tcW w:w="4950" w:type="dxa"/>
          </w:tcPr>
          <w:p w14:paraId="77F07B99" w14:textId="77777777" w:rsidR="00021EF7" w:rsidRPr="0027693E" w:rsidRDefault="00021EF7" w:rsidP="00742C63">
            <w:pPr>
              <w:pStyle w:val="Paragraf"/>
            </w:pPr>
          </w:p>
        </w:tc>
      </w:tr>
      <w:tr w:rsidR="00021EF7" w:rsidRPr="0027693E" w14:paraId="119B7CAB" w14:textId="77777777" w:rsidTr="00742C63">
        <w:trPr>
          <w:trHeight w:val="71"/>
        </w:trPr>
        <w:tc>
          <w:tcPr>
            <w:tcW w:w="4106" w:type="dxa"/>
          </w:tcPr>
          <w:p w14:paraId="45272DC6" w14:textId="5F702449" w:rsidR="00021EF7" w:rsidRPr="00021EF7" w:rsidRDefault="00021EF7" w:rsidP="00021EF7">
            <w:pPr>
              <w:pStyle w:val="Heading5"/>
            </w:pPr>
            <w:bookmarkStart w:id="20" w:name="_Toc525474974"/>
            <w:r>
              <w:t>§</w:t>
            </w:r>
            <w:r w:rsidR="00003347">
              <w:t>3:1 Användningsområde</w:t>
            </w:r>
            <w:bookmarkEnd w:id="20"/>
          </w:p>
        </w:tc>
        <w:tc>
          <w:tcPr>
            <w:tcW w:w="4950" w:type="dxa"/>
          </w:tcPr>
          <w:p w14:paraId="0B13CC91" w14:textId="77777777" w:rsidR="00021EF7" w:rsidRPr="0027693E" w:rsidRDefault="00021EF7" w:rsidP="00742C63">
            <w:pPr>
              <w:pStyle w:val="Paragraf"/>
            </w:pPr>
          </w:p>
        </w:tc>
      </w:tr>
      <w:tr w:rsidR="00021EF7" w:rsidRPr="0027693E" w14:paraId="12A201DE" w14:textId="77777777" w:rsidTr="00742C63">
        <w:trPr>
          <w:trHeight w:val="71"/>
        </w:trPr>
        <w:tc>
          <w:tcPr>
            <w:tcW w:w="4106" w:type="dxa"/>
          </w:tcPr>
          <w:p w14:paraId="150A631F" w14:textId="77777777" w:rsidR="00021EF7" w:rsidRPr="0027693E" w:rsidRDefault="00021EF7" w:rsidP="00742C63">
            <w:pPr>
              <w:pStyle w:val="Heading5"/>
            </w:pPr>
          </w:p>
        </w:tc>
        <w:tc>
          <w:tcPr>
            <w:tcW w:w="4950" w:type="dxa"/>
          </w:tcPr>
          <w:p w14:paraId="4A895C2D" w14:textId="1194D2FE" w:rsidR="00021EF7" w:rsidRPr="0027693E" w:rsidRDefault="008B56AF" w:rsidP="00742C63">
            <w:pPr>
              <w:pStyle w:val="Paragraf"/>
            </w:pPr>
            <w:r w:rsidRPr="008B56AF">
              <w:t>Kontantkassor fasas sakta men säkert ut men används fortfarande fördelaktigt där försäljning behöver gå snabbt och smidigt. Till exempel i den dagliga kaféverksamheten eller biljettförsäljning för nyantagna studenter.</w:t>
            </w:r>
          </w:p>
        </w:tc>
      </w:tr>
      <w:tr w:rsidR="00021EF7" w:rsidRPr="0027693E" w14:paraId="13EF1A68" w14:textId="77777777" w:rsidTr="00742C63">
        <w:trPr>
          <w:trHeight w:val="71"/>
        </w:trPr>
        <w:tc>
          <w:tcPr>
            <w:tcW w:w="4106" w:type="dxa"/>
          </w:tcPr>
          <w:p w14:paraId="6C2E5B1E" w14:textId="77777777" w:rsidR="00021EF7" w:rsidRPr="0027693E" w:rsidRDefault="00021EF7" w:rsidP="00742C63">
            <w:pPr>
              <w:pStyle w:val="Heading5"/>
            </w:pPr>
          </w:p>
        </w:tc>
        <w:tc>
          <w:tcPr>
            <w:tcW w:w="4950" w:type="dxa"/>
          </w:tcPr>
          <w:p w14:paraId="496A73F3" w14:textId="77777777" w:rsidR="00021EF7" w:rsidRPr="0027693E" w:rsidRDefault="00021EF7" w:rsidP="00742C63">
            <w:pPr>
              <w:pStyle w:val="Paragraf"/>
            </w:pPr>
          </w:p>
        </w:tc>
      </w:tr>
      <w:tr w:rsidR="00021EF7" w:rsidRPr="0027693E" w14:paraId="2D11CC8D" w14:textId="77777777" w:rsidTr="00742C63">
        <w:trPr>
          <w:trHeight w:val="71"/>
        </w:trPr>
        <w:tc>
          <w:tcPr>
            <w:tcW w:w="4106" w:type="dxa"/>
          </w:tcPr>
          <w:p w14:paraId="56D4B530" w14:textId="3F4D38ED" w:rsidR="00021EF7" w:rsidRPr="0027693E" w:rsidRDefault="008B56AF" w:rsidP="00742C63">
            <w:pPr>
              <w:pStyle w:val="Heading5"/>
            </w:pPr>
            <w:bookmarkStart w:id="21" w:name="_Toc525474975"/>
            <w:r>
              <w:t>§3:2 Avgifter</w:t>
            </w:r>
            <w:bookmarkEnd w:id="21"/>
          </w:p>
        </w:tc>
        <w:tc>
          <w:tcPr>
            <w:tcW w:w="4950" w:type="dxa"/>
          </w:tcPr>
          <w:p w14:paraId="3937CF20" w14:textId="77777777" w:rsidR="00021EF7" w:rsidRPr="0027693E" w:rsidRDefault="00021EF7" w:rsidP="00742C63">
            <w:pPr>
              <w:pStyle w:val="Paragraf"/>
            </w:pPr>
          </w:p>
        </w:tc>
      </w:tr>
      <w:tr w:rsidR="00021EF7" w:rsidRPr="0027693E" w14:paraId="1A529DB0" w14:textId="77777777" w:rsidTr="00742C63">
        <w:trPr>
          <w:trHeight w:val="71"/>
        </w:trPr>
        <w:tc>
          <w:tcPr>
            <w:tcW w:w="4106" w:type="dxa"/>
          </w:tcPr>
          <w:p w14:paraId="1EE11378" w14:textId="77777777" w:rsidR="00021EF7" w:rsidRPr="0027693E" w:rsidRDefault="00021EF7" w:rsidP="00742C63">
            <w:pPr>
              <w:pStyle w:val="Heading5"/>
            </w:pPr>
          </w:p>
        </w:tc>
        <w:tc>
          <w:tcPr>
            <w:tcW w:w="4950" w:type="dxa"/>
          </w:tcPr>
          <w:p w14:paraId="3BB498B1" w14:textId="336FB67E" w:rsidR="00021EF7" w:rsidRPr="0027693E" w:rsidRDefault="00BC2DF8" w:rsidP="00742C63">
            <w:pPr>
              <w:pStyle w:val="Paragraf"/>
            </w:pPr>
            <w:r w:rsidRPr="00BC2DF8">
              <w:t>Inga avgifter tas för att ta emot kontantbetalning. Detta innebär att om man till exempel säljer en biljett för 100 kronor kommer Sektionen få 100 kronor på kontot.</w:t>
            </w:r>
          </w:p>
        </w:tc>
      </w:tr>
      <w:tr w:rsidR="00021EF7" w:rsidRPr="0027693E" w14:paraId="6A618361" w14:textId="77777777" w:rsidTr="00742C63">
        <w:trPr>
          <w:trHeight w:val="71"/>
        </w:trPr>
        <w:tc>
          <w:tcPr>
            <w:tcW w:w="4106" w:type="dxa"/>
          </w:tcPr>
          <w:p w14:paraId="6E78252D" w14:textId="77777777" w:rsidR="00021EF7" w:rsidRPr="0027693E" w:rsidRDefault="00021EF7" w:rsidP="00742C63">
            <w:pPr>
              <w:pStyle w:val="Heading5"/>
            </w:pPr>
          </w:p>
        </w:tc>
        <w:tc>
          <w:tcPr>
            <w:tcW w:w="4950" w:type="dxa"/>
          </w:tcPr>
          <w:p w14:paraId="1237310D" w14:textId="77777777" w:rsidR="00021EF7" w:rsidRPr="0027693E" w:rsidRDefault="00021EF7" w:rsidP="00742C63">
            <w:pPr>
              <w:pStyle w:val="Paragraf"/>
            </w:pPr>
          </w:p>
        </w:tc>
      </w:tr>
      <w:tr w:rsidR="00021EF7" w:rsidRPr="0027693E" w14:paraId="2B80FF65" w14:textId="77777777" w:rsidTr="00742C63">
        <w:trPr>
          <w:trHeight w:val="71"/>
        </w:trPr>
        <w:tc>
          <w:tcPr>
            <w:tcW w:w="4106" w:type="dxa"/>
          </w:tcPr>
          <w:p w14:paraId="39FA2144" w14:textId="5315B37E" w:rsidR="00021EF7" w:rsidRPr="0027693E" w:rsidRDefault="00BC2DF8" w:rsidP="00742C63">
            <w:pPr>
              <w:pStyle w:val="Heading5"/>
            </w:pPr>
            <w:bookmarkStart w:id="22" w:name="_Toc525474976"/>
            <w:r>
              <w:t>§3:3 Regler</w:t>
            </w:r>
            <w:bookmarkEnd w:id="22"/>
          </w:p>
        </w:tc>
        <w:tc>
          <w:tcPr>
            <w:tcW w:w="4950" w:type="dxa"/>
          </w:tcPr>
          <w:p w14:paraId="4BDAFF4D" w14:textId="77777777" w:rsidR="00021EF7" w:rsidRPr="0027693E" w:rsidRDefault="00021EF7" w:rsidP="00742C63">
            <w:pPr>
              <w:pStyle w:val="Paragraf"/>
            </w:pPr>
          </w:p>
        </w:tc>
      </w:tr>
      <w:tr w:rsidR="00021EF7" w:rsidRPr="0027693E" w14:paraId="13F1D997" w14:textId="77777777" w:rsidTr="00742C63">
        <w:trPr>
          <w:trHeight w:val="71"/>
        </w:trPr>
        <w:tc>
          <w:tcPr>
            <w:tcW w:w="4106" w:type="dxa"/>
          </w:tcPr>
          <w:p w14:paraId="0ED2980A" w14:textId="77777777" w:rsidR="00021EF7" w:rsidRPr="0027693E" w:rsidRDefault="00021EF7" w:rsidP="00742C63">
            <w:pPr>
              <w:pStyle w:val="Heading5"/>
            </w:pPr>
          </w:p>
        </w:tc>
        <w:tc>
          <w:tcPr>
            <w:tcW w:w="4950" w:type="dxa"/>
          </w:tcPr>
          <w:p w14:paraId="010580C0" w14:textId="77777777" w:rsidR="00F16898" w:rsidRDefault="00F16898" w:rsidP="00F16898">
            <w:pPr>
              <w:pStyle w:val="Paragraf"/>
            </w:pPr>
            <w:r>
              <w:t>Kassören ansvarar för att lämna ut och ta emot kontantkassor. I samband med att en kontantkassa lämnas ut ska mängden sedlar och mynt och deras värde räknas och skrivas ner i ett särskilt protokoll. Detta ska sedan kompletteras när kontantkassan lämnas tillbaks med den nya mängden sedlar och mynt.</w:t>
            </w:r>
          </w:p>
          <w:p w14:paraId="4B28F9C0" w14:textId="77777777" w:rsidR="00F16898" w:rsidRDefault="00F16898" w:rsidP="00F16898">
            <w:pPr>
              <w:pStyle w:val="Paragraf"/>
            </w:pPr>
            <w:r>
              <w:t xml:space="preserve"> </w:t>
            </w:r>
          </w:p>
          <w:p w14:paraId="401F8303" w14:textId="7E0216D6" w:rsidR="00021EF7" w:rsidRPr="0027693E" w:rsidRDefault="00F16898" w:rsidP="00F16898">
            <w:pPr>
              <w:pStyle w:val="Paragraf"/>
            </w:pPr>
            <w:r>
              <w:t>I och med att en stor mängd kontanter medför en större risk för stöld bör kontantkassor användas så lite som möjligt.</w:t>
            </w:r>
          </w:p>
        </w:tc>
      </w:tr>
      <w:tr w:rsidR="00021EF7" w:rsidRPr="0027693E" w14:paraId="71B6BCC2" w14:textId="77777777" w:rsidTr="00DD1415">
        <w:trPr>
          <w:trHeight w:val="71"/>
        </w:trPr>
        <w:tc>
          <w:tcPr>
            <w:tcW w:w="4106" w:type="dxa"/>
          </w:tcPr>
          <w:p w14:paraId="6629EC3C" w14:textId="77777777" w:rsidR="00021EF7" w:rsidRPr="0027693E" w:rsidRDefault="00021EF7" w:rsidP="00194D89">
            <w:pPr>
              <w:pStyle w:val="Heading5"/>
            </w:pPr>
          </w:p>
        </w:tc>
        <w:tc>
          <w:tcPr>
            <w:tcW w:w="4950" w:type="dxa"/>
          </w:tcPr>
          <w:p w14:paraId="7158AB76" w14:textId="77777777" w:rsidR="00021EF7" w:rsidRPr="0027693E" w:rsidRDefault="00021EF7" w:rsidP="002736A9">
            <w:pPr>
              <w:pStyle w:val="Paragraf"/>
            </w:pPr>
          </w:p>
        </w:tc>
      </w:tr>
      <w:tr w:rsidR="002736A9" w:rsidRPr="0027693E" w14:paraId="66435F6D" w14:textId="77777777" w:rsidTr="00DD1415">
        <w:trPr>
          <w:trHeight w:val="71"/>
        </w:trPr>
        <w:tc>
          <w:tcPr>
            <w:tcW w:w="4106" w:type="dxa"/>
          </w:tcPr>
          <w:p w14:paraId="4667F8C8" w14:textId="29E6192A" w:rsidR="002736A9" w:rsidRPr="0027693E" w:rsidRDefault="00194D89" w:rsidP="00194D89">
            <w:pPr>
              <w:pStyle w:val="Heading2"/>
            </w:pPr>
            <w:bookmarkStart w:id="23" w:name="_Toc525474977"/>
            <w:r>
              <w:t>§</w:t>
            </w:r>
            <w:r w:rsidR="00F16898">
              <w:t>4</w:t>
            </w:r>
            <w:r>
              <w:t xml:space="preserve"> </w:t>
            </w:r>
            <w:r w:rsidR="00BA72D9" w:rsidRPr="0014631A">
              <w:t>Zettle</w:t>
            </w:r>
            <w:bookmarkEnd w:id="23"/>
          </w:p>
        </w:tc>
        <w:tc>
          <w:tcPr>
            <w:tcW w:w="4950" w:type="dxa"/>
          </w:tcPr>
          <w:p w14:paraId="1DBFE866" w14:textId="58B02C40" w:rsidR="002736A9" w:rsidRPr="0027693E" w:rsidRDefault="002736A9" w:rsidP="002736A9">
            <w:pPr>
              <w:pStyle w:val="Paragraf"/>
            </w:pPr>
          </w:p>
        </w:tc>
      </w:tr>
      <w:tr w:rsidR="00DE0468" w:rsidRPr="0027693E" w14:paraId="73B8CFDB" w14:textId="77777777" w:rsidTr="00DD1415">
        <w:trPr>
          <w:trHeight w:val="71"/>
        </w:trPr>
        <w:tc>
          <w:tcPr>
            <w:tcW w:w="4106" w:type="dxa"/>
          </w:tcPr>
          <w:p w14:paraId="5949F15E" w14:textId="77777777" w:rsidR="00DE0468" w:rsidRPr="0027693E" w:rsidRDefault="00DE0468" w:rsidP="00DE0468">
            <w:pPr>
              <w:pStyle w:val="Heading5"/>
            </w:pPr>
          </w:p>
        </w:tc>
        <w:tc>
          <w:tcPr>
            <w:tcW w:w="4950" w:type="dxa"/>
          </w:tcPr>
          <w:p w14:paraId="04BD7832" w14:textId="1E15DBF8" w:rsidR="00DE0468" w:rsidRPr="0027693E" w:rsidRDefault="00BA72D9" w:rsidP="00411C0A">
            <w:pPr>
              <w:pStyle w:val="Paragraf"/>
              <w:tabs>
                <w:tab w:val="left" w:pos="2964"/>
              </w:tabs>
            </w:pPr>
            <w:r>
              <w:t>Zettle</w:t>
            </w:r>
            <w:r w:rsidR="00194D89">
              <w:t xml:space="preserve"> är ett </w:t>
            </w:r>
            <w:r w:rsidR="00411C0A">
              <w:t xml:space="preserve">smidigt system som möjliggör kortbetalning via en mobiltelefon och enklare kortterminaler. </w:t>
            </w:r>
          </w:p>
        </w:tc>
      </w:tr>
      <w:tr w:rsidR="00411C0A" w:rsidRPr="0027693E" w14:paraId="7B39BA4D" w14:textId="77777777" w:rsidTr="00DD1415">
        <w:trPr>
          <w:trHeight w:val="71"/>
        </w:trPr>
        <w:tc>
          <w:tcPr>
            <w:tcW w:w="4106" w:type="dxa"/>
          </w:tcPr>
          <w:p w14:paraId="2C6D498B" w14:textId="77777777" w:rsidR="00411C0A" w:rsidRPr="0027693E" w:rsidRDefault="00411C0A" w:rsidP="00DE0468">
            <w:pPr>
              <w:pStyle w:val="Heading5"/>
            </w:pPr>
          </w:p>
        </w:tc>
        <w:tc>
          <w:tcPr>
            <w:tcW w:w="4950" w:type="dxa"/>
          </w:tcPr>
          <w:p w14:paraId="77AB21B9" w14:textId="77777777" w:rsidR="00411C0A" w:rsidRDefault="00411C0A" w:rsidP="00411C0A">
            <w:pPr>
              <w:pStyle w:val="Paragraf"/>
              <w:tabs>
                <w:tab w:val="left" w:pos="2964"/>
              </w:tabs>
            </w:pPr>
          </w:p>
        </w:tc>
      </w:tr>
      <w:tr w:rsidR="002736A9" w:rsidRPr="0027693E" w14:paraId="7B2926AB" w14:textId="77777777" w:rsidTr="00DD1415">
        <w:trPr>
          <w:trHeight w:val="71"/>
        </w:trPr>
        <w:tc>
          <w:tcPr>
            <w:tcW w:w="4106" w:type="dxa"/>
          </w:tcPr>
          <w:p w14:paraId="3F187459" w14:textId="35502106" w:rsidR="002736A9" w:rsidRPr="0027693E" w:rsidRDefault="00411C0A" w:rsidP="00411C0A">
            <w:pPr>
              <w:pStyle w:val="Heading5"/>
            </w:pPr>
            <w:bookmarkStart w:id="24" w:name="_Toc525474978"/>
            <w:r>
              <w:t>§</w:t>
            </w:r>
            <w:r w:rsidR="00F16898">
              <w:t>4</w:t>
            </w:r>
            <w:r>
              <w:t>:1 Användningsområde</w:t>
            </w:r>
            <w:bookmarkEnd w:id="24"/>
          </w:p>
        </w:tc>
        <w:tc>
          <w:tcPr>
            <w:tcW w:w="4950" w:type="dxa"/>
          </w:tcPr>
          <w:p w14:paraId="28345838" w14:textId="77777777" w:rsidR="002736A9" w:rsidRPr="0027693E" w:rsidRDefault="002736A9" w:rsidP="002736A9">
            <w:pPr>
              <w:pStyle w:val="Paragraf"/>
            </w:pPr>
          </w:p>
        </w:tc>
      </w:tr>
      <w:tr w:rsidR="00411C0A" w:rsidRPr="0027693E" w14:paraId="499CE3A7" w14:textId="77777777" w:rsidTr="00DD1415">
        <w:trPr>
          <w:trHeight w:val="71"/>
        </w:trPr>
        <w:tc>
          <w:tcPr>
            <w:tcW w:w="4106" w:type="dxa"/>
          </w:tcPr>
          <w:p w14:paraId="363AFB88" w14:textId="77777777" w:rsidR="00411C0A" w:rsidRDefault="00411C0A" w:rsidP="00411C0A">
            <w:pPr>
              <w:pStyle w:val="Heading5"/>
            </w:pPr>
          </w:p>
        </w:tc>
        <w:tc>
          <w:tcPr>
            <w:tcW w:w="4950" w:type="dxa"/>
          </w:tcPr>
          <w:p w14:paraId="0FD06AC6" w14:textId="0EEDB4C7" w:rsidR="00411C0A" w:rsidRPr="0027693E" w:rsidRDefault="00BA72D9" w:rsidP="002736A9">
            <w:pPr>
              <w:pStyle w:val="Paragraf"/>
            </w:pPr>
            <w:r>
              <w:t>Zettle</w:t>
            </w:r>
            <w:r w:rsidR="00411C0A">
              <w:t xml:space="preserve"> används fördelaktigt vid majoriteten av försäljningar, så som kaféverksamhet, pubar och biljettförsäljningar. </w:t>
            </w:r>
          </w:p>
        </w:tc>
      </w:tr>
      <w:tr w:rsidR="00411C0A" w:rsidRPr="0027693E" w14:paraId="1E76D4BD" w14:textId="77777777" w:rsidTr="00DD1415">
        <w:trPr>
          <w:trHeight w:val="71"/>
        </w:trPr>
        <w:tc>
          <w:tcPr>
            <w:tcW w:w="4106" w:type="dxa"/>
          </w:tcPr>
          <w:p w14:paraId="17E5FEBC" w14:textId="77777777" w:rsidR="00411C0A" w:rsidRDefault="00411C0A" w:rsidP="00411C0A">
            <w:pPr>
              <w:pStyle w:val="Heading5"/>
            </w:pPr>
          </w:p>
        </w:tc>
        <w:tc>
          <w:tcPr>
            <w:tcW w:w="4950" w:type="dxa"/>
          </w:tcPr>
          <w:p w14:paraId="6D6A34C1" w14:textId="77777777" w:rsidR="00411C0A" w:rsidRDefault="00411C0A" w:rsidP="002736A9">
            <w:pPr>
              <w:pStyle w:val="Paragraf"/>
            </w:pPr>
          </w:p>
        </w:tc>
      </w:tr>
      <w:tr w:rsidR="00411C0A" w:rsidRPr="0027693E" w14:paraId="37376636" w14:textId="77777777" w:rsidTr="00DD1415">
        <w:trPr>
          <w:trHeight w:val="71"/>
        </w:trPr>
        <w:tc>
          <w:tcPr>
            <w:tcW w:w="4106" w:type="dxa"/>
          </w:tcPr>
          <w:p w14:paraId="5F24E4ED" w14:textId="1BD36600" w:rsidR="00411C0A" w:rsidRPr="00411C0A" w:rsidRDefault="00411C0A" w:rsidP="00411C0A">
            <w:pPr>
              <w:pStyle w:val="Heading5"/>
            </w:pPr>
            <w:bookmarkStart w:id="25" w:name="_Toc525474979"/>
            <w:r>
              <w:t>§</w:t>
            </w:r>
            <w:r w:rsidR="00F16898">
              <w:t>4</w:t>
            </w:r>
            <w:r>
              <w:t>:2 Avgifter</w:t>
            </w:r>
            <w:bookmarkEnd w:id="25"/>
            <w:r>
              <w:t xml:space="preserve"> </w:t>
            </w:r>
          </w:p>
        </w:tc>
        <w:tc>
          <w:tcPr>
            <w:tcW w:w="4950" w:type="dxa"/>
          </w:tcPr>
          <w:p w14:paraId="256F3B01" w14:textId="77777777" w:rsidR="00411C0A" w:rsidRDefault="00411C0A" w:rsidP="002736A9">
            <w:pPr>
              <w:pStyle w:val="Paragraf"/>
            </w:pPr>
          </w:p>
        </w:tc>
      </w:tr>
      <w:tr w:rsidR="00411C0A" w:rsidRPr="0027693E" w14:paraId="04D6D80F" w14:textId="77777777" w:rsidTr="00DD1415">
        <w:trPr>
          <w:trHeight w:val="71"/>
        </w:trPr>
        <w:tc>
          <w:tcPr>
            <w:tcW w:w="4106" w:type="dxa"/>
          </w:tcPr>
          <w:p w14:paraId="4F642218" w14:textId="77777777" w:rsidR="00411C0A" w:rsidRDefault="00411C0A" w:rsidP="00411C0A">
            <w:pPr>
              <w:pStyle w:val="Heading5"/>
            </w:pPr>
          </w:p>
        </w:tc>
        <w:tc>
          <w:tcPr>
            <w:tcW w:w="4950" w:type="dxa"/>
          </w:tcPr>
          <w:p w14:paraId="4F7CE12A" w14:textId="4B17C54A" w:rsidR="00411C0A" w:rsidRDefault="00BA72D9" w:rsidP="002736A9">
            <w:pPr>
              <w:pStyle w:val="Paragraf"/>
            </w:pPr>
            <w:r>
              <w:t>Zettle</w:t>
            </w:r>
            <w:r w:rsidR="00411C0A">
              <w:t xml:space="preserve"> tar en administrativ avgift på 1,5% på varje betalning. Detta innebär att om man till exempel säljer en biljett för 100 kronor kommer Sektionen enbart få 98,5 kronor på kontot. </w:t>
            </w:r>
          </w:p>
        </w:tc>
      </w:tr>
      <w:tr w:rsidR="00411C0A" w:rsidRPr="0027693E" w14:paraId="0D460E62" w14:textId="77777777" w:rsidTr="00DD1415">
        <w:trPr>
          <w:trHeight w:val="71"/>
        </w:trPr>
        <w:tc>
          <w:tcPr>
            <w:tcW w:w="4106" w:type="dxa"/>
          </w:tcPr>
          <w:p w14:paraId="45F88746" w14:textId="77777777" w:rsidR="00411C0A" w:rsidRDefault="00411C0A" w:rsidP="00411C0A">
            <w:pPr>
              <w:pStyle w:val="Heading5"/>
            </w:pPr>
          </w:p>
        </w:tc>
        <w:tc>
          <w:tcPr>
            <w:tcW w:w="4950" w:type="dxa"/>
          </w:tcPr>
          <w:p w14:paraId="6A6A5B86" w14:textId="77777777" w:rsidR="00411C0A" w:rsidRDefault="00411C0A" w:rsidP="002736A9">
            <w:pPr>
              <w:pStyle w:val="Paragraf"/>
            </w:pPr>
          </w:p>
        </w:tc>
      </w:tr>
      <w:tr w:rsidR="00411C0A" w:rsidRPr="0027693E" w14:paraId="3AAF7CD5" w14:textId="77777777" w:rsidTr="00DD1415">
        <w:trPr>
          <w:trHeight w:val="71"/>
        </w:trPr>
        <w:tc>
          <w:tcPr>
            <w:tcW w:w="4106" w:type="dxa"/>
          </w:tcPr>
          <w:p w14:paraId="08F47B8B" w14:textId="59BEF2A6" w:rsidR="00411C0A" w:rsidRDefault="00411C0A" w:rsidP="00411C0A">
            <w:pPr>
              <w:pStyle w:val="Heading5"/>
            </w:pPr>
            <w:bookmarkStart w:id="26" w:name="_Toc525474980"/>
            <w:r>
              <w:t>§</w:t>
            </w:r>
            <w:r w:rsidR="00F16898">
              <w:t>4</w:t>
            </w:r>
            <w:r>
              <w:t>:3 Regler</w:t>
            </w:r>
            <w:bookmarkEnd w:id="26"/>
            <w:r>
              <w:t xml:space="preserve"> </w:t>
            </w:r>
          </w:p>
        </w:tc>
        <w:tc>
          <w:tcPr>
            <w:tcW w:w="4950" w:type="dxa"/>
          </w:tcPr>
          <w:p w14:paraId="720695E6" w14:textId="0080C642" w:rsidR="00132BB0" w:rsidRDefault="00132BB0" w:rsidP="002736A9">
            <w:pPr>
              <w:pStyle w:val="Paragraf"/>
            </w:pPr>
            <w:r>
              <w:t xml:space="preserve">Kassören har inloggningsuppgifterna till </w:t>
            </w:r>
            <w:r w:rsidR="00BA72D9">
              <w:t>Zettle</w:t>
            </w:r>
            <w:r>
              <w:t xml:space="preserve"> och kan logga in på telefonen för de funktionärer som ska stå för försäljningen. </w:t>
            </w:r>
          </w:p>
          <w:p w14:paraId="14DC60A0" w14:textId="77777777" w:rsidR="00132BB0" w:rsidRDefault="00132BB0" w:rsidP="002736A9">
            <w:pPr>
              <w:pStyle w:val="Paragraf"/>
            </w:pPr>
          </w:p>
          <w:p w14:paraId="1C06A164" w14:textId="7E5CC0EE" w:rsidR="00411C0A" w:rsidRDefault="00CF12F7" w:rsidP="002736A9">
            <w:pPr>
              <w:pStyle w:val="Paragraf"/>
            </w:pPr>
            <w:r>
              <w:t xml:space="preserve">Varje utskott har en egen mapp </w:t>
            </w:r>
            <w:r w:rsidR="00132BB0">
              <w:t xml:space="preserve">i </w:t>
            </w:r>
            <w:r w:rsidR="00BA72D9">
              <w:t>Zettle</w:t>
            </w:r>
            <w:r w:rsidR="00132BB0">
              <w:t xml:space="preserve">, om ett utskott saknar mapp skapas denna innan försäljning. Inga engångsbelopp får </w:t>
            </w:r>
            <w:r w:rsidR="00F86A74">
              <w:t>användas.</w:t>
            </w:r>
            <w:r w:rsidR="00132BB0">
              <w:t xml:space="preserve"> </w:t>
            </w:r>
            <w:r w:rsidR="00F86A74">
              <w:t>A</w:t>
            </w:r>
            <w:r w:rsidR="00132BB0">
              <w:t>ll</w:t>
            </w:r>
            <w:r w:rsidR="00F86A74">
              <w:t>a produkter</w:t>
            </w:r>
            <w:r w:rsidR="00132BB0">
              <w:t xml:space="preserve"> måste läggas in som produkter i utskottets mapp. Detta går att strukturera ytterligare med undermappar och olika varianter på produkter. </w:t>
            </w:r>
          </w:p>
          <w:p w14:paraId="184DC998" w14:textId="77777777" w:rsidR="00132BB0" w:rsidRDefault="00132BB0" w:rsidP="002736A9">
            <w:pPr>
              <w:pStyle w:val="Paragraf"/>
            </w:pPr>
          </w:p>
          <w:p w14:paraId="26342D02" w14:textId="2601A92A" w:rsidR="00132BB0" w:rsidRDefault="00132BB0" w:rsidP="002736A9">
            <w:pPr>
              <w:pStyle w:val="Paragraf"/>
            </w:pPr>
            <w:r>
              <w:t xml:space="preserve">Det är inte heller tillåtet att ge rabatt i </w:t>
            </w:r>
            <w:r w:rsidR="00BA72D9">
              <w:t>Zettle</w:t>
            </w:r>
            <w:r>
              <w:t xml:space="preserve"> utan då måste en ny produkt läggas in med lägre pris. </w:t>
            </w:r>
          </w:p>
        </w:tc>
      </w:tr>
      <w:tr w:rsidR="00411C0A" w:rsidRPr="0027693E" w14:paraId="449C2315" w14:textId="77777777" w:rsidTr="00DD1415">
        <w:trPr>
          <w:trHeight w:val="71"/>
        </w:trPr>
        <w:tc>
          <w:tcPr>
            <w:tcW w:w="4106" w:type="dxa"/>
          </w:tcPr>
          <w:p w14:paraId="5D4C94D2" w14:textId="77777777" w:rsidR="00411C0A" w:rsidRDefault="00411C0A" w:rsidP="00411C0A">
            <w:pPr>
              <w:pStyle w:val="Heading5"/>
            </w:pPr>
          </w:p>
        </w:tc>
        <w:tc>
          <w:tcPr>
            <w:tcW w:w="4950" w:type="dxa"/>
          </w:tcPr>
          <w:p w14:paraId="5DF6154D" w14:textId="77777777" w:rsidR="00411C0A" w:rsidRDefault="00411C0A" w:rsidP="002736A9">
            <w:pPr>
              <w:pStyle w:val="Paragraf"/>
            </w:pPr>
          </w:p>
        </w:tc>
      </w:tr>
      <w:tr w:rsidR="002736A9" w:rsidRPr="0027693E" w14:paraId="43793F34" w14:textId="77777777" w:rsidTr="00DD1415">
        <w:trPr>
          <w:trHeight w:val="166"/>
        </w:trPr>
        <w:tc>
          <w:tcPr>
            <w:tcW w:w="4106" w:type="dxa"/>
          </w:tcPr>
          <w:p w14:paraId="4CA94E02" w14:textId="13965BF7" w:rsidR="002736A9" w:rsidRPr="0027693E" w:rsidRDefault="00194D89" w:rsidP="00194D89">
            <w:pPr>
              <w:pStyle w:val="Heading2"/>
            </w:pPr>
            <w:bookmarkStart w:id="27" w:name="_Toc525474981"/>
            <w:r>
              <w:t>§</w:t>
            </w:r>
            <w:r w:rsidR="00F16898">
              <w:t>5</w:t>
            </w:r>
            <w:r>
              <w:t xml:space="preserve"> Swish</w:t>
            </w:r>
            <w:bookmarkEnd w:id="27"/>
          </w:p>
        </w:tc>
        <w:tc>
          <w:tcPr>
            <w:tcW w:w="4950" w:type="dxa"/>
          </w:tcPr>
          <w:p w14:paraId="16227899" w14:textId="2CEEDAC3" w:rsidR="002736A9" w:rsidRPr="0027693E" w:rsidRDefault="002736A9" w:rsidP="00DE0468">
            <w:pPr>
              <w:pStyle w:val="Paragraf"/>
            </w:pPr>
          </w:p>
        </w:tc>
      </w:tr>
      <w:tr w:rsidR="00C62A4F" w:rsidRPr="0027693E" w14:paraId="6C3F94C7" w14:textId="77777777" w:rsidTr="00DD1415">
        <w:trPr>
          <w:trHeight w:val="166"/>
        </w:trPr>
        <w:tc>
          <w:tcPr>
            <w:tcW w:w="4106" w:type="dxa"/>
          </w:tcPr>
          <w:p w14:paraId="08E20702" w14:textId="77777777" w:rsidR="00C62A4F" w:rsidRPr="0027693E" w:rsidRDefault="00C62A4F" w:rsidP="00967816">
            <w:pPr>
              <w:pStyle w:val="Paragraf"/>
            </w:pPr>
          </w:p>
        </w:tc>
        <w:tc>
          <w:tcPr>
            <w:tcW w:w="4950" w:type="dxa"/>
          </w:tcPr>
          <w:p w14:paraId="62337C97" w14:textId="72805241" w:rsidR="00C62A4F" w:rsidRPr="0027693E" w:rsidRDefault="00411A7E" w:rsidP="00DE0468">
            <w:pPr>
              <w:pStyle w:val="Paragraf"/>
            </w:pPr>
            <w:r>
              <w:t xml:space="preserve">Swish är ett system där man med hjälp av sitt mobilnummer kan överföra pengar till någon annans konto via deras mobilnummer. K-sektionen har ett Swishkonto med nummer </w:t>
            </w:r>
            <w:r w:rsidR="0027105E">
              <w:t xml:space="preserve">123 654 87 96. </w:t>
            </w:r>
          </w:p>
        </w:tc>
      </w:tr>
      <w:tr w:rsidR="00194D89" w:rsidRPr="0027693E" w14:paraId="66BA0BBE" w14:textId="77777777" w:rsidTr="00DD1415">
        <w:trPr>
          <w:trHeight w:val="166"/>
        </w:trPr>
        <w:tc>
          <w:tcPr>
            <w:tcW w:w="4106" w:type="dxa"/>
          </w:tcPr>
          <w:p w14:paraId="4D2387B4" w14:textId="77777777" w:rsidR="00194D89" w:rsidRPr="0027693E" w:rsidRDefault="00194D89" w:rsidP="00411A7E">
            <w:pPr>
              <w:pStyle w:val="Heading5"/>
            </w:pPr>
          </w:p>
        </w:tc>
        <w:tc>
          <w:tcPr>
            <w:tcW w:w="4950" w:type="dxa"/>
          </w:tcPr>
          <w:p w14:paraId="6719E02D" w14:textId="77777777" w:rsidR="00194D89" w:rsidRPr="0027693E" w:rsidRDefault="00194D89" w:rsidP="00DE0468">
            <w:pPr>
              <w:pStyle w:val="Paragraf"/>
            </w:pPr>
          </w:p>
        </w:tc>
      </w:tr>
      <w:tr w:rsidR="00411A7E" w:rsidRPr="0027693E" w14:paraId="43364804" w14:textId="77777777" w:rsidTr="00DD1415">
        <w:trPr>
          <w:trHeight w:val="166"/>
        </w:trPr>
        <w:tc>
          <w:tcPr>
            <w:tcW w:w="4106" w:type="dxa"/>
          </w:tcPr>
          <w:p w14:paraId="06423853" w14:textId="239C1BA9" w:rsidR="00411A7E" w:rsidRPr="0027693E" w:rsidRDefault="00411A7E" w:rsidP="00411A7E">
            <w:pPr>
              <w:pStyle w:val="Heading5"/>
            </w:pPr>
            <w:bookmarkStart w:id="28" w:name="_Toc525474982"/>
            <w:r>
              <w:t>§</w:t>
            </w:r>
            <w:r w:rsidR="00F16898">
              <w:t>5</w:t>
            </w:r>
            <w:r>
              <w:t>:1 Användningsområde</w:t>
            </w:r>
            <w:bookmarkEnd w:id="28"/>
          </w:p>
        </w:tc>
        <w:tc>
          <w:tcPr>
            <w:tcW w:w="4950" w:type="dxa"/>
          </w:tcPr>
          <w:p w14:paraId="357777A8" w14:textId="77777777" w:rsidR="00411A7E" w:rsidRPr="0027693E" w:rsidRDefault="00411A7E" w:rsidP="00DE0468">
            <w:pPr>
              <w:pStyle w:val="Paragraf"/>
            </w:pPr>
          </w:p>
        </w:tc>
      </w:tr>
      <w:tr w:rsidR="00411A7E" w:rsidRPr="0027693E" w14:paraId="3CDA960C" w14:textId="77777777" w:rsidTr="00DD1415">
        <w:trPr>
          <w:trHeight w:val="166"/>
        </w:trPr>
        <w:tc>
          <w:tcPr>
            <w:tcW w:w="4106" w:type="dxa"/>
          </w:tcPr>
          <w:p w14:paraId="15636606" w14:textId="77777777" w:rsidR="00411A7E" w:rsidRDefault="00411A7E" w:rsidP="008A5854">
            <w:pPr>
              <w:pStyle w:val="Heading5"/>
            </w:pPr>
          </w:p>
        </w:tc>
        <w:tc>
          <w:tcPr>
            <w:tcW w:w="4950" w:type="dxa"/>
          </w:tcPr>
          <w:p w14:paraId="214DB30C" w14:textId="6D62779C" w:rsidR="00411A7E" w:rsidRPr="0027693E" w:rsidRDefault="00411A7E" w:rsidP="008A5854">
            <w:pPr>
              <w:pStyle w:val="Paragraf"/>
            </w:pPr>
            <w:r>
              <w:t xml:space="preserve">Swish används fördelaktigt vid tillfällen då </w:t>
            </w:r>
            <w:r w:rsidR="00132BB0">
              <w:t xml:space="preserve">priset på produkten är över 100 kr eftersom avgiften då blir mindre än med </w:t>
            </w:r>
            <w:r w:rsidR="00BA72D9">
              <w:t>Zettle</w:t>
            </w:r>
            <w:r w:rsidR="00132BB0">
              <w:t xml:space="preserve">. </w:t>
            </w:r>
          </w:p>
        </w:tc>
      </w:tr>
      <w:tr w:rsidR="00411A7E" w:rsidRPr="0027693E" w14:paraId="0873FC43" w14:textId="77777777" w:rsidTr="00DD1415">
        <w:trPr>
          <w:trHeight w:val="166"/>
        </w:trPr>
        <w:tc>
          <w:tcPr>
            <w:tcW w:w="4106" w:type="dxa"/>
          </w:tcPr>
          <w:p w14:paraId="240BCC85" w14:textId="77777777" w:rsidR="00411A7E" w:rsidRDefault="00411A7E" w:rsidP="008A5854">
            <w:pPr>
              <w:pStyle w:val="Heading5"/>
            </w:pPr>
          </w:p>
        </w:tc>
        <w:tc>
          <w:tcPr>
            <w:tcW w:w="4950" w:type="dxa"/>
          </w:tcPr>
          <w:p w14:paraId="73B1D637" w14:textId="77777777" w:rsidR="00411A7E" w:rsidRPr="0027693E" w:rsidRDefault="00411A7E" w:rsidP="008A5854">
            <w:pPr>
              <w:pStyle w:val="Paragraf"/>
            </w:pPr>
          </w:p>
        </w:tc>
      </w:tr>
      <w:tr w:rsidR="00411A7E" w:rsidRPr="0027693E" w14:paraId="2F7F30B9" w14:textId="77777777" w:rsidTr="00DD1415">
        <w:trPr>
          <w:trHeight w:val="166"/>
        </w:trPr>
        <w:tc>
          <w:tcPr>
            <w:tcW w:w="4106" w:type="dxa"/>
          </w:tcPr>
          <w:p w14:paraId="64A1489D" w14:textId="7C9581CD" w:rsidR="00411A7E" w:rsidRDefault="00411A7E" w:rsidP="008A5854">
            <w:pPr>
              <w:pStyle w:val="Heading5"/>
            </w:pPr>
            <w:bookmarkStart w:id="29" w:name="_Toc525474983"/>
            <w:r>
              <w:t>§</w:t>
            </w:r>
            <w:r w:rsidR="00F16898">
              <w:t>5</w:t>
            </w:r>
            <w:r>
              <w:t>:2 Avgifter</w:t>
            </w:r>
            <w:bookmarkEnd w:id="29"/>
          </w:p>
        </w:tc>
        <w:tc>
          <w:tcPr>
            <w:tcW w:w="4950" w:type="dxa"/>
          </w:tcPr>
          <w:p w14:paraId="1A6BAAAB" w14:textId="77777777" w:rsidR="00411A7E" w:rsidRPr="0027693E" w:rsidRDefault="00411A7E" w:rsidP="008A5854">
            <w:pPr>
              <w:pStyle w:val="Paragraf"/>
            </w:pPr>
          </w:p>
        </w:tc>
      </w:tr>
      <w:tr w:rsidR="00411A7E" w:rsidRPr="0027693E" w14:paraId="07AEA6F2" w14:textId="77777777" w:rsidTr="00DD1415">
        <w:trPr>
          <w:trHeight w:val="166"/>
        </w:trPr>
        <w:tc>
          <w:tcPr>
            <w:tcW w:w="4106" w:type="dxa"/>
          </w:tcPr>
          <w:p w14:paraId="28BB172A" w14:textId="77777777" w:rsidR="00411A7E" w:rsidRDefault="00411A7E" w:rsidP="008A5854">
            <w:pPr>
              <w:pStyle w:val="Heading5"/>
            </w:pPr>
          </w:p>
        </w:tc>
        <w:tc>
          <w:tcPr>
            <w:tcW w:w="4950" w:type="dxa"/>
          </w:tcPr>
          <w:p w14:paraId="2C7460B4" w14:textId="720BC29C" w:rsidR="00411A7E" w:rsidRPr="0027693E" w:rsidRDefault="00411A7E" w:rsidP="008A5854">
            <w:pPr>
              <w:pStyle w:val="Paragraf"/>
            </w:pPr>
            <w:r>
              <w:t xml:space="preserve">Swish tar en administrativ avgift på 1,5 kronor. Detta innebär att om man till exempel säljer en biljett för 100 kronor kommer Sektionen enbart få 98,5 kronor på kontot. </w:t>
            </w:r>
          </w:p>
        </w:tc>
      </w:tr>
      <w:tr w:rsidR="00411A7E" w:rsidRPr="0027693E" w14:paraId="2F8C98FE" w14:textId="77777777" w:rsidTr="00DD1415">
        <w:trPr>
          <w:trHeight w:val="166"/>
        </w:trPr>
        <w:tc>
          <w:tcPr>
            <w:tcW w:w="4106" w:type="dxa"/>
          </w:tcPr>
          <w:p w14:paraId="3D7CF170" w14:textId="77777777" w:rsidR="00411A7E" w:rsidRDefault="00411A7E" w:rsidP="008A5854">
            <w:pPr>
              <w:pStyle w:val="Heading5"/>
            </w:pPr>
          </w:p>
        </w:tc>
        <w:tc>
          <w:tcPr>
            <w:tcW w:w="4950" w:type="dxa"/>
          </w:tcPr>
          <w:p w14:paraId="7D47336B" w14:textId="77777777" w:rsidR="00411A7E" w:rsidRPr="0027693E" w:rsidRDefault="00411A7E" w:rsidP="008A5854">
            <w:pPr>
              <w:pStyle w:val="Paragraf"/>
            </w:pPr>
          </w:p>
        </w:tc>
      </w:tr>
      <w:tr w:rsidR="00411A7E" w:rsidRPr="0027693E" w14:paraId="0728ABD0" w14:textId="77777777" w:rsidTr="00DD1415">
        <w:trPr>
          <w:trHeight w:val="166"/>
        </w:trPr>
        <w:tc>
          <w:tcPr>
            <w:tcW w:w="4106" w:type="dxa"/>
          </w:tcPr>
          <w:p w14:paraId="3E45DEE2" w14:textId="696AAED6" w:rsidR="00411A7E" w:rsidRDefault="00411A7E" w:rsidP="008A5854">
            <w:pPr>
              <w:pStyle w:val="Heading5"/>
            </w:pPr>
            <w:bookmarkStart w:id="30" w:name="_Toc525474984"/>
            <w:r>
              <w:t>§</w:t>
            </w:r>
            <w:r w:rsidR="00F16898">
              <w:t>5</w:t>
            </w:r>
            <w:r>
              <w:t>:3 Regler</w:t>
            </w:r>
            <w:bookmarkEnd w:id="30"/>
          </w:p>
        </w:tc>
        <w:tc>
          <w:tcPr>
            <w:tcW w:w="4950" w:type="dxa"/>
          </w:tcPr>
          <w:p w14:paraId="01C8A2D4" w14:textId="77777777" w:rsidR="00411A7E" w:rsidRDefault="0027105E" w:rsidP="008A5854">
            <w:pPr>
              <w:pStyle w:val="Paragraf"/>
            </w:pPr>
            <w:r>
              <w:t>När ett utskott säljer med Swish ska exceldokumentet för Swish-försäljning</w:t>
            </w:r>
            <w:r w:rsidR="00233F77">
              <w:t xml:space="preserve"> fyllas i enligt mallen med produkt, pris, antal och försäljningstillfälle. </w:t>
            </w:r>
            <w:r w:rsidR="00F13EC1">
              <w:t xml:space="preserve">Be Kassören om tillgång till detta excel-dokument. </w:t>
            </w:r>
          </w:p>
          <w:p w14:paraId="795510A4" w14:textId="77777777" w:rsidR="008579E3" w:rsidRDefault="008579E3" w:rsidP="008A5854">
            <w:pPr>
              <w:pStyle w:val="Paragraf"/>
            </w:pPr>
          </w:p>
          <w:p w14:paraId="19846523" w14:textId="0143E697" w:rsidR="008579E3" w:rsidRPr="0027693E" w:rsidRDefault="00275B16" w:rsidP="008A5854">
            <w:pPr>
              <w:pStyle w:val="Paragraf"/>
            </w:pPr>
            <w:r>
              <w:t xml:space="preserve">Om möjligt be kunden skriva in vad de betalar för </w:t>
            </w:r>
            <w:r w:rsidR="00A464C8">
              <w:t xml:space="preserve">i informationsfältet. </w:t>
            </w:r>
          </w:p>
        </w:tc>
      </w:tr>
      <w:tr w:rsidR="00411A7E" w:rsidRPr="0027693E" w14:paraId="1704BAEC" w14:textId="77777777" w:rsidTr="00DD1415">
        <w:trPr>
          <w:trHeight w:val="166"/>
        </w:trPr>
        <w:tc>
          <w:tcPr>
            <w:tcW w:w="4106" w:type="dxa"/>
          </w:tcPr>
          <w:p w14:paraId="0D450CAD" w14:textId="77777777" w:rsidR="00411A7E" w:rsidRDefault="00411A7E" w:rsidP="008A5854">
            <w:pPr>
              <w:pStyle w:val="Heading5"/>
            </w:pPr>
          </w:p>
          <w:p w14:paraId="73470BCB" w14:textId="347BD271" w:rsidR="00C0236D" w:rsidRPr="00C0236D" w:rsidRDefault="00C0236D" w:rsidP="00C0236D"/>
        </w:tc>
        <w:tc>
          <w:tcPr>
            <w:tcW w:w="4950" w:type="dxa"/>
          </w:tcPr>
          <w:p w14:paraId="079C6CC0" w14:textId="77777777" w:rsidR="00411A7E" w:rsidRPr="0027693E" w:rsidRDefault="00411A7E" w:rsidP="008A5854">
            <w:pPr>
              <w:pStyle w:val="Paragraf"/>
            </w:pPr>
          </w:p>
        </w:tc>
      </w:tr>
      <w:tr w:rsidR="00E832A7" w:rsidRPr="0027693E" w14:paraId="2245A4A3" w14:textId="77777777" w:rsidTr="00DD1415">
        <w:trPr>
          <w:trHeight w:val="250"/>
        </w:trPr>
        <w:tc>
          <w:tcPr>
            <w:tcW w:w="4106" w:type="dxa"/>
          </w:tcPr>
          <w:p w14:paraId="3CAA5821" w14:textId="37377BA4" w:rsidR="00E832A7" w:rsidRPr="0027693E" w:rsidRDefault="00194D89" w:rsidP="00194D89">
            <w:pPr>
              <w:pStyle w:val="Heading2"/>
            </w:pPr>
            <w:bookmarkStart w:id="31" w:name="_Toc525474985"/>
            <w:r>
              <w:t>§</w:t>
            </w:r>
            <w:r w:rsidR="00F16898">
              <w:t>6</w:t>
            </w:r>
            <w:r>
              <w:t xml:space="preserve"> </w:t>
            </w:r>
            <w:bookmarkEnd w:id="31"/>
            <w:r w:rsidR="00A05506">
              <w:t>Orbi</w:t>
            </w:r>
          </w:p>
        </w:tc>
        <w:tc>
          <w:tcPr>
            <w:tcW w:w="4950" w:type="dxa"/>
          </w:tcPr>
          <w:p w14:paraId="6E03C912" w14:textId="77777777" w:rsidR="00E832A7" w:rsidRPr="0027693E" w:rsidRDefault="00E832A7" w:rsidP="002736A9">
            <w:pPr>
              <w:pStyle w:val="Paragraf"/>
            </w:pPr>
          </w:p>
        </w:tc>
      </w:tr>
      <w:tr w:rsidR="00194D89" w:rsidRPr="0027693E" w14:paraId="3AAC3006" w14:textId="77777777" w:rsidTr="00DD1415">
        <w:trPr>
          <w:trHeight w:val="250"/>
        </w:trPr>
        <w:tc>
          <w:tcPr>
            <w:tcW w:w="4106" w:type="dxa"/>
          </w:tcPr>
          <w:p w14:paraId="4E125976" w14:textId="77777777" w:rsidR="00194D89" w:rsidRDefault="00194D89" w:rsidP="00411A7E">
            <w:pPr>
              <w:pStyle w:val="Heading5"/>
            </w:pPr>
          </w:p>
        </w:tc>
        <w:tc>
          <w:tcPr>
            <w:tcW w:w="4950" w:type="dxa"/>
          </w:tcPr>
          <w:p w14:paraId="30FED132" w14:textId="58507A87" w:rsidR="00194D89" w:rsidRPr="0027693E" w:rsidRDefault="00A05506" w:rsidP="002736A9">
            <w:pPr>
              <w:pStyle w:val="Paragraf"/>
            </w:pPr>
            <w:r>
              <w:t>Orbi</w:t>
            </w:r>
            <w:r w:rsidR="00E73D1A">
              <w:t xml:space="preserve"> kan användas för att ta betalt för biljetter till event</w:t>
            </w:r>
            <w:r w:rsidR="004A14D0">
              <w:t xml:space="preserve"> och andra produkter via en smidig app.</w:t>
            </w:r>
          </w:p>
        </w:tc>
      </w:tr>
      <w:tr w:rsidR="00411A7E" w:rsidRPr="0027693E" w14:paraId="084FE526" w14:textId="77777777" w:rsidTr="00DD1415">
        <w:trPr>
          <w:trHeight w:val="166"/>
        </w:trPr>
        <w:tc>
          <w:tcPr>
            <w:tcW w:w="4106" w:type="dxa"/>
          </w:tcPr>
          <w:p w14:paraId="2B83B9EA" w14:textId="77777777" w:rsidR="00411A7E" w:rsidRDefault="00411A7E" w:rsidP="008A5854">
            <w:pPr>
              <w:pStyle w:val="Heading5"/>
            </w:pPr>
          </w:p>
        </w:tc>
        <w:tc>
          <w:tcPr>
            <w:tcW w:w="4950" w:type="dxa"/>
          </w:tcPr>
          <w:p w14:paraId="7780191A" w14:textId="77777777" w:rsidR="00411A7E" w:rsidRPr="0027693E" w:rsidRDefault="00411A7E" w:rsidP="008A5854">
            <w:pPr>
              <w:pStyle w:val="Paragraf"/>
            </w:pPr>
          </w:p>
        </w:tc>
      </w:tr>
      <w:tr w:rsidR="00411A7E" w:rsidRPr="0027693E" w14:paraId="27D2E6CD" w14:textId="77777777" w:rsidTr="00DD1415">
        <w:trPr>
          <w:trHeight w:val="166"/>
        </w:trPr>
        <w:tc>
          <w:tcPr>
            <w:tcW w:w="4106" w:type="dxa"/>
          </w:tcPr>
          <w:p w14:paraId="7C168917" w14:textId="36FC4919" w:rsidR="00411A7E" w:rsidRDefault="00411A7E" w:rsidP="008A5854">
            <w:pPr>
              <w:pStyle w:val="Heading5"/>
            </w:pPr>
            <w:bookmarkStart w:id="32" w:name="_Toc525474986"/>
            <w:r>
              <w:t>§</w:t>
            </w:r>
            <w:r w:rsidR="00F16898">
              <w:t>6</w:t>
            </w:r>
            <w:r>
              <w:t>:1 Användningsområde</w:t>
            </w:r>
            <w:bookmarkEnd w:id="32"/>
          </w:p>
        </w:tc>
        <w:tc>
          <w:tcPr>
            <w:tcW w:w="4950" w:type="dxa"/>
          </w:tcPr>
          <w:p w14:paraId="07963098" w14:textId="38882C4D" w:rsidR="00411A7E" w:rsidRPr="0027693E" w:rsidRDefault="00BA72D9" w:rsidP="008A5854">
            <w:pPr>
              <w:pStyle w:val="Paragraf"/>
            </w:pPr>
            <w:r>
              <w:t>Bonsai Pay</w:t>
            </w:r>
            <w:r w:rsidR="00233F77">
              <w:t xml:space="preserve"> är lämpligt att använda vid större event när det annars kan bli stora köbildningar vid försäljningstillfället. Eftersom avgiften är markant högre än både Swish och </w:t>
            </w:r>
            <w:r>
              <w:t>Zettle</w:t>
            </w:r>
            <w:r w:rsidR="00233F77">
              <w:t xml:space="preserve"> är det inte att föredra i till exempel kaféverksamhet eller liknande med försäljning av mindre summor. </w:t>
            </w:r>
          </w:p>
        </w:tc>
      </w:tr>
      <w:tr w:rsidR="00411A7E" w:rsidRPr="0027693E" w14:paraId="01DC9689" w14:textId="77777777" w:rsidTr="00DD1415">
        <w:trPr>
          <w:trHeight w:val="166"/>
        </w:trPr>
        <w:tc>
          <w:tcPr>
            <w:tcW w:w="4106" w:type="dxa"/>
          </w:tcPr>
          <w:p w14:paraId="60ED070F" w14:textId="77777777" w:rsidR="00411A7E" w:rsidRDefault="00411A7E" w:rsidP="008A5854">
            <w:pPr>
              <w:pStyle w:val="Heading5"/>
            </w:pPr>
          </w:p>
        </w:tc>
        <w:tc>
          <w:tcPr>
            <w:tcW w:w="4950" w:type="dxa"/>
          </w:tcPr>
          <w:p w14:paraId="0034BA52" w14:textId="77777777" w:rsidR="00411A7E" w:rsidRPr="0027693E" w:rsidRDefault="00411A7E" w:rsidP="008A5854">
            <w:pPr>
              <w:pStyle w:val="Paragraf"/>
            </w:pPr>
          </w:p>
        </w:tc>
      </w:tr>
      <w:tr w:rsidR="00411A7E" w:rsidRPr="0027693E" w14:paraId="43A66CA3" w14:textId="77777777" w:rsidTr="00DD1415">
        <w:trPr>
          <w:trHeight w:val="166"/>
        </w:trPr>
        <w:tc>
          <w:tcPr>
            <w:tcW w:w="4106" w:type="dxa"/>
          </w:tcPr>
          <w:p w14:paraId="740FBD76" w14:textId="48C7FAAD" w:rsidR="00411A7E" w:rsidRDefault="00411A7E" w:rsidP="008A5854">
            <w:pPr>
              <w:pStyle w:val="Heading5"/>
            </w:pPr>
            <w:bookmarkStart w:id="33" w:name="_Toc525474987"/>
            <w:r>
              <w:t>§</w:t>
            </w:r>
            <w:r w:rsidR="00F16898">
              <w:t>6</w:t>
            </w:r>
            <w:r>
              <w:t>:2 Avgifter</w:t>
            </w:r>
            <w:bookmarkEnd w:id="33"/>
          </w:p>
        </w:tc>
        <w:tc>
          <w:tcPr>
            <w:tcW w:w="4950" w:type="dxa"/>
          </w:tcPr>
          <w:p w14:paraId="1AE44E8E" w14:textId="77777777" w:rsidR="00411A7E" w:rsidRPr="0027693E" w:rsidRDefault="00411A7E" w:rsidP="008A5854">
            <w:pPr>
              <w:pStyle w:val="Paragraf"/>
            </w:pPr>
          </w:p>
        </w:tc>
      </w:tr>
      <w:tr w:rsidR="00411A7E" w:rsidRPr="0027693E" w14:paraId="7902E168" w14:textId="77777777" w:rsidTr="00DD1415">
        <w:trPr>
          <w:trHeight w:val="166"/>
        </w:trPr>
        <w:tc>
          <w:tcPr>
            <w:tcW w:w="4106" w:type="dxa"/>
          </w:tcPr>
          <w:p w14:paraId="7AB04055" w14:textId="77777777" w:rsidR="00411A7E" w:rsidRDefault="00411A7E" w:rsidP="008A5854">
            <w:pPr>
              <w:pStyle w:val="Heading5"/>
            </w:pPr>
          </w:p>
        </w:tc>
        <w:tc>
          <w:tcPr>
            <w:tcW w:w="4950" w:type="dxa"/>
          </w:tcPr>
          <w:p w14:paraId="56A0FC7B" w14:textId="62ED3AB4" w:rsidR="00411A7E" w:rsidRPr="0027693E" w:rsidRDefault="004A14D0" w:rsidP="008A5854">
            <w:pPr>
              <w:pStyle w:val="Paragraf"/>
            </w:pPr>
            <w:r>
              <w:t>Orbi</w:t>
            </w:r>
            <w:r w:rsidR="00411A7E">
              <w:t xml:space="preserve"> tar en administrativ avgift på </w:t>
            </w:r>
            <w:r>
              <w:t>1,5</w:t>
            </w:r>
            <w:r w:rsidR="00411A7E">
              <w:t xml:space="preserve">% + </w:t>
            </w:r>
            <w:r>
              <w:t>1,5</w:t>
            </w:r>
            <w:r w:rsidR="00411A7E">
              <w:t xml:space="preserve"> kronor. Detta innebär att om man säljer en biljett för 100 kronor kommer Sektionen enbart få 9</w:t>
            </w:r>
            <w:r>
              <w:t>7</w:t>
            </w:r>
            <w:r w:rsidR="00411A7E">
              <w:t xml:space="preserve"> kronor på kontot. </w:t>
            </w:r>
          </w:p>
        </w:tc>
      </w:tr>
      <w:tr w:rsidR="00411A7E" w:rsidRPr="0027693E" w14:paraId="1301B4EA" w14:textId="77777777" w:rsidTr="00DD1415">
        <w:trPr>
          <w:trHeight w:val="166"/>
        </w:trPr>
        <w:tc>
          <w:tcPr>
            <w:tcW w:w="4106" w:type="dxa"/>
          </w:tcPr>
          <w:p w14:paraId="7E8E541B" w14:textId="77777777" w:rsidR="00411A7E" w:rsidRDefault="00411A7E" w:rsidP="008A5854">
            <w:pPr>
              <w:pStyle w:val="Heading5"/>
            </w:pPr>
          </w:p>
        </w:tc>
        <w:tc>
          <w:tcPr>
            <w:tcW w:w="4950" w:type="dxa"/>
          </w:tcPr>
          <w:p w14:paraId="353D7D6E" w14:textId="77777777" w:rsidR="00411A7E" w:rsidRPr="0027693E" w:rsidRDefault="00411A7E" w:rsidP="008A5854">
            <w:pPr>
              <w:pStyle w:val="Paragraf"/>
            </w:pPr>
          </w:p>
        </w:tc>
      </w:tr>
      <w:tr w:rsidR="007C1A1B" w:rsidRPr="0027693E" w14:paraId="4E1DF2C3" w14:textId="77777777" w:rsidTr="00DD1415">
        <w:trPr>
          <w:trHeight w:val="71"/>
        </w:trPr>
        <w:tc>
          <w:tcPr>
            <w:tcW w:w="4106" w:type="dxa"/>
          </w:tcPr>
          <w:p w14:paraId="2A63DCC0" w14:textId="77777777" w:rsidR="007C1A1B" w:rsidRDefault="00DD1415" w:rsidP="007C1A1B">
            <w:pPr>
              <w:pStyle w:val="Heading5"/>
            </w:pPr>
            <w:bookmarkStart w:id="34" w:name="_Toc525474988"/>
            <w:r>
              <w:t>§</w:t>
            </w:r>
            <w:r w:rsidR="00F16898">
              <w:t>6</w:t>
            </w:r>
            <w:r w:rsidR="007C1A1B">
              <w:t>:3 Regler</w:t>
            </w:r>
            <w:bookmarkEnd w:id="34"/>
          </w:p>
          <w:p w14:paraId="4993B55A" w14:textId="77777777" w:rsidR="009A6F83" w:rsidRDefault="009A6F83" w:rsidP="009A6F83"/>
          <w:p w14:paraId="37982562" w14:textId="77777777" w:rsidR="009A6F83" w:rsidRDefault="009A6F83" w:rsidP="009A6F83"/>
          <w:p w14:paraId="1F93AEB7" w14:textId="77777777" w:rsidR="009A6F83" w:rsidRDefault="009A6F83" w:rsidP="009A6F83"/>
          <w:p w14:paraId="15911E19" w14:textId="77777777" w:rsidR="009A6F83" w:rsidRDefault="009A6F83" w:rsidP="009A6F83"/>
          <w:p w14:paraId="53E7C596" w14:textId="77777777" w:rsidR="009A6F83" w:rsidRDefault="009A6F83" w:rsidP="009A6F83"/>
          <w:p w14:paraId="313B983D" w14:textId="77777777" w:rsidR="009A6F83" w:rsidRDefault="009A6F83" w:rsidP="009A6F83"/>
          <w:p w14:paraId="40EF1BA5" w14:textId="77777777" w:rsidR="009A6F83" w:rsidRDefault="009A6F83" w:rsidP="009A6F83"/>
          <w:p w14:paraId="307FC4A9" w14:textId="77777777" w:rsidR="009A6F83" w:rsidRDefault="009A6F83" w:rsidP="009A6F83"/>
          <w:p w14:paraId="45C116D1" w14:textId="77777777" w:rsidR="009A6F83" w:rsidRDefault="009A6F83" w:rsidP="009A6F83"/>
          <w:p w14:paraId="4208F18D" w14:textId="77777777" w:rsidR="009A6F83" w:rsidRDefault="009A6F83" w:rsidP="009A6F83"/>
          <w:p w14:paraId="09AC5E9C" w14:textId="1B9519BC" w:rsidR="009A6F83" w:rsidRPr="009A6F83" w:rsidRDefault="009A6F83" w:rsidP="009A6F83"/>
        </w:tc>
        <w:tc>
          <w:tcPr>
            <w:tcW w:w="4950" w:type="dxa"/>
          </w:tcPr>
          <w:p w14:paraId="02CCC985" w14:textId="7D808B32" w:rsidR="007C1A1B" w:rsidRDefault="00BA72D9" w:rsidP="007C1A1B">
            <w:pPr>
              <w:pStyle w:val="Paragraf"/>
            </w:pPr>
            <w:r>
              <w:t>Bonsai Pay</w:t>
            </w:r>
            <w:r w:rsidR="007C1A1B">
              <w:t xml:space="preserve"> används i samråd med Kassören. </w:t>
            </w:r>
          </w:p>
          <w:p w14:paraId="055B9B1B" w14:textId="77777777" w:rsidR="007C1A1B" w:rsidRDefault="007C1A1B" w:rsidP="007C1A1B">
            <w:pPr>
              <w:pStyle w:val="Paragraf"/>
            </w:pPr>
          </w:p>
          <w:p w14:paraId="05823DA2" w14:textId="6C59F4A8" w:rsidR="00B600E9" w:rsidRDefault="007C1A1B" w:rsidP="007C1A1B">
            <w:pPr>
              <w:pStyle w:val="Paragraf"/>
            </w:pPr>
            <w:r>
              <w:t>Varje utskott har en egen profil i</w:t>
            </w:r>
            <w:r w:rsidR="009A6F83">
              <w:t xml:space="preserve"> Orbi</w:t>
            </w:r>
            <w:r>
              <w:t xml:space="preserve">, om ett utskott saknar </w:t>
            </w:r>
            <w:r w:rsidR="001F367D">
              <w:t xml:space="preserve">profil </w:t>
            </w:r>
            <w:r>
              <w:t xml:space="preserve">skapas denna innan försäljning. </w:t>
            </w:r>
            <w:r w:rsidR="00B600E9">
              <w:t>Biljetter skapas tillhörande ett event och p</w:t>
            </w:r>
            <w:r w:rsidR="00223495">
              <w:t>riset kopplas till biljetten</w:t>
            </w:r>
            <w:r w:rsidR="00B600E9">
              <w:t>. B</w:t>
            </w:r>
            <w:r w:rsidR="00223495">
              <w:t>iljetter</w:t>
            </w:r>
            <w:r w:rsidR="00B600E9">
              <w:t>na</w:t>
            </w:r>
            <w:r w:rsidR="00223495">
              <w:t xml:space="preserve"> kan skapas i olika varianter</w:t>
            </w:r>
            <w:r w:rsidR="00317FFD">
              <w:t xml:space="preserve"> med olika namn och pris. </w:t>
            </w:r>
            <w:r>
              <w:t xml:space="preserve"> </w:t>
            </w:r>
          </w:p>
          <w:p w14:paraId="34B63BB9" w14:textId="79C49482" w:rsidR="007C1A1B" w:rsidRPr="0027693E" w:rsidRDefault="00B600E9" w:rsidP="007C1A1B">
            <w:pPr>
              <w:pStyle w:val="Paragraf"/>
            </w:pPr>
            <w:r>
              <w:t xml:space="preserve">Biljetterna bör döpas så att det framgår tydligt för kunden samt Kassören vad det är den köper. </w:t>
            </w:r>
          </w:p>
        </w:tc>
      </w:tr>
      <w:tr w:rsidR="009A6F83" w:rsidRPr="0027693E" w14:paraId="6B5B8F1D" w14:textId="77777777" w:rsidTr="00DD1415">
        <w:trPr>
          <w:trHeight w:val="71"/>
        </w:trPr>
        <w:tc>
          <w:tcPr>
            <w:tcW w:w="4106" w:type="dxa"/>
          </w:tcPr>
          <w:p w14:paraId="18F53AE7" w14:textId="2769602E" w:rsidR="009A6F83" w:rsidRDefault="009A6F83" w:rsidP="007C1A1B">
            <w:pPr>
              <w:pStyle w:val="Heading5"/>
            </w:pPr>
            <w:r>
              <w:t>§6:4 Samarbete</w:t>
            </w:r>
          </w:p>
        </w:tc>
        <w:tc>
          <w:tcPr>
            <w:tcW w:w="4950" w:type="dxa"/>
          </w:tcPr>
          <w:p w14:paraId="3C5AE1B0" w14:textId="77777777" w:rsidR="009A6F83" w:rsidRDefault="009A6F83" w:rsidP="007C1A1B">
            <w:pPr>
              <w:pStyle w:val="Paragraf"/>
            </w:pPr>
          </w:p>
          <w:p w14:paraId="12E16139" w14:textId="2393FEFC" w:rsidR="009A6F83" w:rsidRDefault="009A6F83" w:rsidP="007C1A1B">
            <w:pPr>
              <w:pStyle w:val="Paragraf"/>
            </w:pPr>
            <w:r>
              <w:t>Sektionen har även ett samarbete med Orbi som genere</w:t>
            </w:r>
            <w:r w:rsidR="00896E6F">
              <w:t>rar intäkter via den marknadsföring som görs på appen av andra företag.</w:t>
            </w:r>
          </w:p>
        </w:tc>
      </w:tr>
    </w:tbl>
    <w:p w14:paraId="0A12F401" w14:textId="2164FCD3" w:rsidR="00C1527B" w:rsidRDefault="00C1527B" w:rsidP="00DD1415">
      <w:bookmarkStart w:id="35" w:name="_Toc482301059"/>
      <w:bookmarkEnd w:id="9"/>
      <w:bookmarkEnd w:id="35"/>
    </w:p>
    <w:sectPr w:rsidR="00C1527B" w:rsidSect="00796646">
      <w:footerReference w:type="default" r:id="rId9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7DD5" w14:textId="77777777" w:rsidR="00A04BE9" w:rsidRDefault="00A04BE9" w:rsidP="006A2F3E">
      <w:r>
        <w:separator/>
      </w:r>
    </w:p>
  </w:endnote>
  <w:endnote w:type="continuationSeparator" w:id="0">
    <w:p w14:paraId="6C2D37D7" w14:textId="77777777" w:rsidR="00A04BE9" w:rsidRDefault="00A04BE9" w:rsidP="006A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ADC9" w14:textId="75C85B3B" w:rsidR="00C42C8D" w:rsidRPr="00300EA9" w:rsidRDefault="00C42C8D" w:rsidP="00300EA9">
    <w:pPr>
      <w:pStyle w:val="Footer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6"/>
    </w:tblGrid>
    <w:tr w:rsidR="00C42C8D" w14:paraId="30E84AA1" w14:textId="77777777" w:rsidTr="00300EA9">
      <w:tc>
        <w:tcPr>
          <w:tcW w:w="9056" w:type="dxa"/>
        </w:tcPr>
        <w:sdt>
          <w:sdtPr>
            <w:id w:val="-814953301"/>
            <w:docPartObj>
              <w:docPartGallery w:val="Page Numbers (Bottom of Page)"/>
              <w:docPartUnique/>
            </w:docPartObj>
          </w:sdtPr>
          <w:sdtEndPr/>
          <w:sdtContent>
            <w:p w14:paraId="65C425BA" w14:textId="5F8543C0" w:rsidR="00C42C8D" w:rsidRDefault="00C42C8D" w:rsidP="00300EA9">
              <w:pPr>
                <w:pStyle w:val="Footer"/>
                <w:jc w:val="right"/>
              </w:pPr>
              <w:r w:rsidRPr="00300EA9">
                <w:rPr>
                  <w:b/>
                </w:rPr>
                <w:fldChar w:fldCharType="begin"/>
              </w:r>
              <w:r w:rsidRPr="00300EA9">
                <w:rPr>
                  <w:b/>
                </w:rPr>
                <w:instrText xml:space="preserve"> PAGE   \* MERGEFORMAT </w:instrText>
              </w:r>
              <w:r w:rsidRPr="00300EA9">
                <w:rPr>
                  <w:b/>
                </w:rPr>
                <w:fldChar w:fldCharType="separate"/>
              </w:r>
              <w:r w:rsidR="00F7242E">
                <w:rPr>
                  <w:b/>
                  <w:noProof/>
                </w:rPr>
                <w:t>1</w:t>
              </w:r>
              <w:r w:rsidRPr="00300EA9">
                <w:rPr>
                  <w:b/>
                  <w:noProof/>
                </w:rPr>
                <w:fldChar w:fldCharType="end"/>
              </w:r>
            </w:p>
          </w:sdtContent>
        </w:sdt>
      </w:tc>
    </w:tr>
  </w:tbl>
  <w:p w14:paraId="3B5F8B01" w14:textId="6F6495CD" w:rsidR="00C42C8D" w:rsidRDefault="00C42C8D" w:rsidP="00A64B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9A03" w14:textId="77777777" w:rsidR="00A04BE9" w:rsidRDefault="00A04BE9" w:rsidP="006A2F3E">
      <w:r>
        <w:separator/>
      </w:r>
    </w:p>
  </w:footnote>
  <w:footnote w:type="continuationSeparator" w:id="0">
    <w:p w14:paraId="5AECA4FB" w14:textId="77777777" w:rsidR="00A04BE9" w:rsidRDefault="00A04BE9" w:rsidP="006A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AC0BD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B081D"/>
    <w:multiLevelType w:val="hybridMultilevel"/>
    <w:tmpl w:val="CB44A19E"/>
    <w:lvl w:ilvl="0" w:tplc="A5D80270">
      <w:start w:val="1"/>
      <w:numFmt w:val="lowerLetter"/>
      <w:lvlText w:val="%1)"/>
      <w:lvlJc w:val="left"/>
      <w:pPr>
        <w:ind w:left="757" w:hanging="360"/>
      </w:pPr>
      <w:rPr>
        <w:rFonts w:hint="default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477" w:hanging="360"/>
      </w:pPr>
    </w:lvl>
    <w:lvl w:ilvl="2" w:tplc="041D001B" w:tentative="1">
      <w:start w:val="1"/>
      <w:numFmt w:val="lowerRoman"/>
      <w:lvlText w:val="%3."/>
      <w:lvlJc w:val="right"/>
      <w:pPr>
        <w:ind w:left="2197" w:hanging="180"/>
      </w:pPr>
    </w:lvl>
    <w:lvl w:ilvl="3" w:tplc="041D000F" w:tentative="1">
      <w:start w:val="1"/>
      <w:numFmt w:val="decimal"/>
      <w:lvlText w:val="%4."/>
      <w:lvlJc w:val="left"/>
      <w:pPr>
        <w:ind w:left="2917" w:hanging="360"/>
      </w:pPr>
    </w:lvl>
    <w:lvl w:ilvl="4" w:tplc="041D0019" w:tentative="1">
      <w:start w:val="1"/>
      <w:numFmt w:val="lowerLetter"/>
      <w:lvlText w:val="%5."/>
      <w:lvlJc w:val="left"/>
      <w:pPr>
        <w:ind w:left="3637" w:hanging="360"/>
      </w:pPr>
    </w:lvl>
    <w:lvl w:ilvl="5" w:tplc="041D001B" w:tentative="1">
      <w:start w:val="1"/>
      <w:numFmt w:val="lowerRoman"/>
      <w:lvlText w:val="%6."/>
      <w:lvlJc w:val="right"/>
      <w:pPr>
        <w:ind w:left="4357" w:hanging="180"/>
      </w:pPr>
    </w:lvl>
    <w:lvl w:ilvl="6" w:tplc="041D000F" w:tentative="1">
      <w:start w:val="1"/>
      <w:numFmt w:val="decimal"/>
      <w:lvlText w:val="%7."/>
      <w:lvlJc w:val="left"/>
      <w:pPr>
        <w:ind w:left="5077" w:hanging="360"/>
      </w:pPr>
    </w:lvl>
    <w:lvl w:ilvl="7" w:tplc="041D0019" w:tentative="1">
      <w:start w:val="1"/>
      <w:numFmt w:val="lowerLetter"/>
      <w:lvlText w:val="%8."/>
      <w:lvlJc w:val="left"/>
      <w:pPr>
        <w:ind w:left="5797" w:hanging="360"/>
      </w:pPr>
    </w:lvl>
    <w:lvl w:ilvl="8" w:tplc="041D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CEE2577"/>
    <w:multiLevelType w:val="hybridMultilevel"/>
    <w:tmpl w:val="698EFC8A"/>
    <w:lvl w:ilvl="0" w:tplc="CFAEC91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5DA3"/>
    <w:multiLevelType w:val="hybridMultilevel"/>
    <w:tmpl w:val="FD822C44"/>
    <w:lvl w:ilvl="0" w:tplc="041D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4" w15:restartNumberingAfterBreak="0">
    <w:nsid w:val="12574636"/>
    <w:multiLevelType w:val="hybridMultilevel"/>
    <w:tmpl w:val="9D1CD234"/>
    <w:lvl w:ilvl="0" w:tplc="45DA46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6129B"/>
    <w:multiLevelType w:val="hybridMultilevel"/>
    <w:tmpl w:val="0428AF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E3685"/>
    <w:multiLevelType w:val="hybridMultilevel"/>
    <w:tmpl w:val="A5202D28"/>
    <w:lvl w:ilvl="0" w:tplc="C810AFEC">
      <w:start w:val="1"/>
      <w:numFmt w:val="lowerLetter"/>
      <w:lvlText w:val="%1)"/>
      <w:lvlJc w:val="left"/>
      <w:pPr>
        <w:ind w:left="1154" w:hanging="360"/>
      </w:pPr>
      <w:rPr>
        <w:rFonts w:hint="default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874" w:hanging="360"/>
      </w:pPr>
    </w:lvl>
    <w:lvl w:ilvl="2" w:tplc="041D001B" w:tentative="1">
      <w:start w:val="1"/>
      <w:numFmt w:val="lowerRoman"/>
      <w:lvlText w:val="%3."/>
      <w:lvlJc w:val="right"/>
      <w:pPr>
        <w:ind w:left="2594" w:hanging="180"/>
      </w:pPr>
    </w:lvl>
    <w:lvl w:ilvl="3" w:tplc="041D000F" w:tentative="1">
      <w:start w:val="1"/>
      <w:numFmt w:val="decimal"/>
      <w:lvlText w:val="%4."/>
      <w:lvlJc w:val="left"/>
      <w:pPr>
        <w:ind w:left="3314" w:hanging="360"/>
      </w:pPr>
    </w:lvl>
    <w:lvl w:ilvl="4" w:tplc="041D0019" w:tentative="1">
      <w:start w:val="1"/>
      <w:numFmt w:val="lowerLetter"/>
      <w:lvlText w:val="%5."/>
      <w:lvlJc w:val="left"/>
      <w:pPr>
        <w:ind w:left="4034" w:hanging="360"/>
      </w:pPr>
    </w:lvl>
    <w:lvl w:ilvl="5" w:tplc="041D001B" w:tentative="1">
      <w:start w:val="1"/>
      <w:numFmt w:val="lowerRoman"/>
      <w:lvlText w:val="%6."/>
      <w:lvlJc w:val="right"/>
      <w:pPr>
        <w:ind w:left="4754" w:hanging="180"/>
      </w:pPr>
    </w:lvl>
    <w:lvl w:ilvl="6" w:tplc="041D000F" w:tentative="1">
      <w:start w:val="1"/>
      <w:numFmt w:val="decimal"/>
      <w:lvlText w:val="%7."/>
      <w:lvlJc w:val="left"/>
      <w:pPr>
        <w:ind w:left="5474" w:hanging="360"/>
      </w:pPr>
    </w:lvl>
    <w:lvl w:ilvl="7" w:tplc="041D0019" w:tentative="1">
      <w:start w:val="1"/>
      <w:numFmt w:val="lowerLetter"/>
      <w:lvlText w:val="%8."/>
      <w:lvlJc w:val="left"/>
      <w:pPr>
        <w:ind w:left="6194" w:hanging="360"/>
      </w:pPr>
    </w:lvl>
    <w:lvl w:ilvl="8" w:tplc="041D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 w15:restartNumberingAfterBreak="0">
    <w:nsid w:val="1BB22D27"/>
    <w:multiLevelType w:val="hybridMultilevel"/>
    <w:tmpl w:val="521E9DC4"/>
    <w:lvl w:ilvl="0" w:tplc="C0D0A6F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74" w:hanging="360"/>
      </w:pPr>
    </w:lvl>
    <w:lvl w:ilvl="2" w:tplc="041D001B" w:tentative="1">
      <w:start w:val="1"/>
      <w:numFmt w:val="lowerRoman"/>
      <w:lvlText w:val="%3."/>
      <w:lvlJc w:val="right"/>
      <w:pPr>
        <w:ind w:left="2594" w:hanging="180"/>
      </w:pPr>
    </w:lvl>
    <w:lvl w:ilvl="3" w:tplc="041D000F" w:tentative="1">
      <w:start w:val="1"/>
      <w:numFmt w:val="decimal"/>
      <w:lvlText w:val="%4."/>
      <w:lvlJc w:val="left"/>
      <w:pPr>
        <w:ind w:left="3314" w:hanging="360"/>
      </w:pPr>
    </w:lvl>
    <w:lvl w:ilvl="4" w:tplc="041D0019" w:tentative="1">
      <w:start w:val="1"/>
      <w:numFmt w:val="lowerLetter"/>
      <w:lvlText w:val="%5."/>
      <w:lvlJc w:val="left"/>
      <w:pPr>
        <w:ind w:left="4034" w:hanging="360"/>
      </w:pPr>
    </w:lvl>
    <w:lvl w:ilvl="5" w:tplc="041D001B" w:tentative="1">
      <w:start w:val="1"/>
      <w:numFmt w:val="lowerRoman"/>
      <w:lvlText w:val="%6."/>
      <w:lvlJc w:val="right"/>
      <w:pPr>
        <w:ind w:left="4754" w:hanging="180"/>
      </w:pPr>
    </w:lvl>
    <w:lvl w:ilvl="6" w:tplc="041D000F" w:tentative="1">
      <w:start w:val="1"/>
      <w:numFmt w:val="decimal"/>
      <w:lvlText w:val="%7."/>
      <w:lvlJc w:val="left"/>
      <w:pPr>
        <w:ind w:left="5474" w:hanging="360"/>
      </w:pPr>
    </w:lvl>
    <w:lvl w:ilvl="7" w:tplc="041D0019" w:tentative="1">
      <w:start w:val="1"/>
      <w:numFmt w:val="lowerLetter"/>
      <w:lvlText w:val="%8."/>
      <w:lvlJc w:val="left"/>
      <w:pPr>
        <w:ind w:left="6194" w:hanging="360"/>
      </w:pPr>
    </w:lvl>
    <w:lvl w:ilvl="8" w:tplc="041D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 w15:restartNumberingAfterBreak="0">
    <w:nsid w:val="1C4650C8"/>
    <w:multiLevelType w:val="hybridMultilevel"/>
    <w:tmpl w:val="EB56CB24"/>
    <w:lvl w:ilvl="0" w:tplc="4FF4B9CA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3326"/>
    <w:multiLevelType w:val="hybridMultilevel"/>
    <w:tmpl w:val="FF2A8D92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D37612B"/>
    <w:multiLevelType w:val="hybridMultilevel"/>
    <w:tmpl w:val="845E710A"/>
    <w:lvl w:ilvl="0" w:tplc="CD0A756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74" w:hanging="360"/>
      </w:pPr>
    </w:lvl>
    <w:lvl w:ilvl="2" w:tplc="041D001B" w:tentative="1">
      <w:start w:val="1"/>
      <w:numFmt w:val="lowerRoman"/>
      <w:lvlText w:val="%3."/>
      <w:lvlJc w:val="right"/>
      <w:pPr>
        <w:ind w:left="2594" w:hanging="180"/>
      </w:pPr>
    </w:lvl>
    <w:lvl w:ilvl="3" w:tplc="041D000F" w:tentative="1">
      <w:start w:val="1"/>
      <w:numFmt w:val="decimal"/>
      <w:lvlText w:val="%4."/>
      <w:lvlJc w:val="left"/>
      <w:pPr>
        <w:ind w:left="3314" w:hanging="360"/>
      </w:pPr>
    </w:lvl>
    <w:lvl w:ilvl="4" w:tplc="041D0019" w:tentative="1">
      <w:start w:val="1"/>
      <w:numFmt w:val="lowerLetter"/>
      <w:lvlText w:val="%5."/>
      <w:lvlJc w:val="left"/>
      <w:pPr>
        <w:ind w:left="4034" w:hanging="360"/>
      </w:pPr>
    </w:lvl>
    <w:lvl w:ilvl="5" w:tplc="041D001B" w:tentative="1">
      <w:start w:val="1"/>
      <w:numFmt w:val="lowerRoman"/>
      <w:lvlText w:val="%6."/>
      <w:lvlJc w:val="right"/>
      <w:pPr>
        <w:ind w:left="4754" w:hanging="180"/>
      </w:pPr>
    </w:lvl>
    <w:lvl w:ilvl="6" w:tplc="041D000F" w:tentative="1">
      <w:start w:val="1"/>
      <w:numFmt w:val="decimal"/>
      <w:lvlText w:val="%7."/>
      <w:lvlJc w:val="left"/>
      <w:pPr>
        <w:ind w:left="5474" w:hanging="360"/>
      </w:pPr>
    </w:lvl>
    <w:lvl w:ilvl="7" w:tplc="041D0019" w:tentative="1">
      <w:start w:val="1"/>
      <w:numFmt w:val="lowerLetter"/>
      <w:lvlText w:val="%8."/>
      <w:lvlJc w:val="left"/>
      <w:pPr>
        <w:ind w:left="6194" w:hanging="360"/>
      </w:pPr>
    </w:lvl>
    <w:lvl w:ilvl="8" w:tplc="041D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641A0C10"/>
    <w:multiLevelType w:val="hybridMultilevel"/>
    <w:tmpl w:val="FA2621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75473"/>
    <w:multiLevelType w:val="hybridMultilevel"/>
    <w:tmpl w:val="13AC2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1456F"/>
    <w:multiLevelType w:val="hybridMultilevel"/>
    <w:tmpl w:val="AFD061C4"/>
    <w:lvl w:ilvl="0" w:tplc="19D687AE">
      <w:start w:val="1"/>
      <w:numFmt w:val="lowerLetter"/>
      <w:lvlText w:val="%1)"/>
      <w:lvlJc w:val="left"/>
      <w:pPr>
        <w:ind w:left="1154" w:hanging="360"/>
      </w:pPr>
      <w:rPr>
        <w:rFonts w:hint="default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874" w:hanging="360"/>
      </w:pPr>
    </w:lvl>
    <w:lvl w:ilvl="2" w:tplc="041D001B" w:tentative="1">
      <w:start w:val="1"/>
      <w:numFmt w:val="lowerRoman"/>
      <w:lvlText w:val="%3."/>
      <w:lvlJc w:val="right"/>
      <w:pPr>
        <w:ind w:left="2594" w:hanging="180"/>
      </w:pPr>
    </w:lvl>
    <w:lvl w:ilvl="3" w:tplc="041D000F" w:tentative="1">
      <w:start w:val="1"/>
      <w:numFmt w:val="decimal"/>
      <w:lvlText w:val="%4."/>
      <w:lvlJc w:val="left"/>
      <w:pPr>
        <w:ind w:left="3314" w:hanging="360"/>
      </w:pPr>
    </w:lvl>
    <w:lvl w:ilvl="4" w:tplc="041D0019" w:tentative="1">
      <w:start w:val="1"/>
      <w:numFmt w:val="lowerLetter"/>
      <w:lvlText w:val="%5."/>
      <w:lvlJc w:val="left"/>
      <w:pPr>
        <w:ind w:left="4034" w:hanging="360"/>
      </w:pPr>
    </w:lvl>
    <w:lvl w:ilvl="5" w:tplc="041D001B" w:tentative="1">
      <w:start w:val="1"/>
      <w:numFmt w:val="lowerRoman"/>
      <w:lvlText w:val="%6."/>
      <w:lvlJc w:val="right"/>
      <w:pPr>
        <w:ind w:left="4754" w:hanging="180"/>
      </w:pPr>
    </w:lvl>
    <w:lvl w:ilvl="6" w:tplc="041D000F" w:tentative="1">
      <w:start w:val="1"/>
      <w:numFmt w:val="decimal"/>
      <w:lvlText w:val="%7."/>
      <w:lvlJc w:val="left"/>
      <w:pPr>
        <w:ind w:left="5474" w:hanging="360"/>
      </w:pPr>
    </w:lvl>
    <w:lvl w:ilvl="7" w:tplc="041D0019" w:tentative="1">
      <w:start w:val="1"/>
      <w:numFmt w:val="lowerLetter"/>
      <w:lvlText w:val="%8."/>
      <w:lvlJc w:val="left"/>
      <w:pPr>
        <w:ind w:left="6194" w:hanging="360"/>
      </w:pPr>
    </w:lvl>
    <w:lvl w:ilvl="8" w:tplc="041D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6BA73709"/>
    <w:multiLevelType w:val="hybridMultilevel"/>
    <w:tmpl w:val="EBD03FAE"/>
    <w:lvl w:ilvl="0" w:tplc="067AC570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74" w:hanging="360"/>
      </w:pPr>
    </w:lvl>
    <w:lvl w:ilvl="2" w:tplc="041D001B" w:tentative="1">
      <w:start w:val="1"/>
      <w:numFmt w:val="lowerRoman"/>
      <w:lvlText w:val="%3."/>
      <w:lvlJc w:val="right"/>
      <w:pPr>
        <w:ind w:left="2594" w:hanging="180"/>
      </w:pPr>
    </w:lvl>
    <w:lvl w:ilvl="3" w:tplc="041D000F" w:tentative="1">
      <w:start w:val="1"/>
      <w:numFmt w:val="decimal"/>
      <w:lvlText w:val="%4."/>
      <w:lvlJc w:val="left"/>
      <w:pPr>
        <w:ind w:left="3314" w:hanging="360"/>
      </w:pPr>
    </w:lvl>
    <w:lvl w:ilvl="4" w:tplc="041D0019" w:tentative="1">
      <w:start w:val="1"/>
      <w:numFmt w:val="lowerLetter"/>
      <w:lvlText w:val="%5."/>
      <w:lvlJc w:val="left"/>
      <w:pPr>
        <w:ind w:left="4034" w:hanging="360"/>
      </w:pPr>
    </w:lvl>
    <w:lvl w:ilvl="5" w:tplc="041D001B" w:tentative="1">
      <w:start w:val="1"/>
      <w:numFmt w:val="lowerRoman"/>
      <w:lvlText w:val="%6."/>
      <w:lvlJc w:val="right"/>
      <w:pPr>
        <w:ind w:left="4754" w:hanging="180"/>
      </w:pPr>
    </w:lvl>
    <w:lvl w:ilvl="6" w:tplc="041D000F" w:tentative="1">
      <w:start w:val="1"/>
      <w:numFmt w:val="decimal"/>
      <w:lvlText w:val="%7."/>
      <w:lvlJc w:val="left"/>
      <w:pPr>
        <w:ind w:left="5474" w:hanging="360"/>
      </w:pPr>
    </w:lvl>
    <w:lvl w:ilvl="7" w:tplc="041D0019" w:tentative="1">
      <w:start w:val="1"/>
      <w:numFmt w:val="lowerLetter"/>
      <w:lvlText w:val="%8."/>
      <w:lvlJc w:val="left"/>
      <w:pPr>
        <w:ind w:left="6194" w:hanging="360"/>
      </w:pPr>
    </w:lvl>
    <w:lvl w:ilvl="8" w:tplc="041D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 w15:restartNumberingAfterBreak="0">
    <w:nsid w:val="6CD86DE1"/>
    <w:multiLevelType w:val="hybridMultilevel"/>
    <w:tmpl w:val="4D6CA5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777A6"/>
    <w:multiLevelType w:val="hybridMultilevel"/>
    <w:tmpl w:val="3F180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06102"/>
    <w:multiLevelType w:val="hybridMultilevel"/>
    <w:tmpl w:val="991C3840"/>
    <w:lvl w:ilvl="0" w:tplc="289AE53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3426"/>
    <w:multiLevelType w:val="hybridMultilevel"/>
    <w:tmpl w:val="B7086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C4330"/>
    <w:multiLevelType w:val="hybridMultilevel"/>
    <w:tmpl w:val="68B67F3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E745C"/>
    <w:multiLevelType w:val="hybridMultilevel"/>
    <w:tmpl w:val="74207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20"/>
  </w:num>
  <w:num w:numId="5">
    <w:abstractNumId w:val="15"/>
  </w:num>
  <w:num w:numId="6">
    <w:abstractNumId w:val="18"/>
  </w:num>
  <w:num w:numId="7">
    <w:abstractNumId w:val="11"/>
  </w:num>
  <w:num w:numId="8">
    <w:abstractNumId w:val="9"/>
  </w:num>
  <w:num w:numId="9">
    <w:abstractNumId w:val="5"/>
  </w:num>
  <w:num w:numId="10">
    <w:abstractNumId w:val="16"/>
  </w:num>
  <w:num w:numId="11">
    <w:abstractNumId w:val="10"/>
  </w:num>
  <w:num w:numId="12">
    <w:abstractNumId w:val="14"/>
  </w:num>
  <w:num w:numId="13">
    <w:abstractNumId w:val="2"/>
  </w:num>
  <w:num w:numId="14">
    <w:abstractNumId w:val="6"/>
  </w:num>
  <w:num w:numId="15">
    <w:abstractNumId w:val="1"/>
  </w:num>
  <w:num w:numId="16">
    <w:abstractNumId w:val="17"/>
  </w:num>
  <w:num w:numId="17">
    <w:abstractNumId w:val="7"/>
  </w:num>
  <w:num w:numId="18">
    <w:abstractNumId w:val="4"/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4096" w:nlCheck="1" w:checkStyle="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2E"/>
    <w:rsid w:val="00001891"/>
    <w:rsid w:val="00003347"/>
    <w:rsid w:val="00014F39"/>
    <w:rsid w:val="000178C5"/>
    <w:rsid w:val="0002104B"/>
    <w:rsid w:val="00021EF7"/>
    <w:rsid w:val="000239E2"/>
    <w:rsid w:val="00026BB4"/>
    <w:rsid w:val="000300FC"/>
    <w:rsid w:val="000424EA"/>
    <w:rsid w:val="0004692A"/>
    <w:rsid w:val="000632DD"/>
    <w:rsid w:val="00065D4A"/>
    <w:rsid w:val="00067599"/>
    <w:rsid w:val="00076EC7"/>
    <w:rsid w:val="00086CE6"/>
    <w:rsid w:val="00091368"/>
    <w:rsid w:val="00091751"/>
    <w:rsid w:val="000A1241"/>
    <w:rsid w:val="000A3263"/>
    <w:rsid w:val="000C524F"/>
    <w:rsid w:val="000E11FE"/>
    <w:rsid w:val="000E20F9"/>
    <w:rsid w:val="000F265D"/>
    <w:rsid w:val="00102045"/>
    <w:rsid w:val="001021A9"/>
    <w:rsid w:val="0012376A"/>
    <w:rsid w:val="00126772"/>
    <w:rsid w:val="00132BB0"/>
    <w:rsid w:val="00137C8B"/>
    <w:rsid w:val="00137FAC"/>
    <w:rsid w:val="0014631A"/>
    <w:rsid w:val="001505B8"/>
    <w:rsid w:val="00165B0B"/>
    <w:rsid w:val="001912EC"/>
    <w:rsid w:val="00192FB8"/>
    <w:rsid w:val="00193703"/>
    <w:rsid w:val="00194D89"/>
    <w:rsid w:val="00194E0E"/>
    <w:rsid w:val="0019523B"/>
    <w:rsid w:val="00196F7D"/>
    <w:rsid w:val="00197460"/>
    <w:rsid w:val="001A1EAC"/>
    <w:rsid w:val="001A4EAC"/>
    <w:rsid w:val="001B4F60"/>
    <w:rsid w:val="001C79D0"/>
    <w:rsid w:val="001D6D61"/>
    <w:rsid w:val="001E5EB9"/>
    <w:rsid w:val="001F0182"/>
    <w:rsid w:val="001F367D"/>
    <w:rsid w:val="001F685D"/>
    <w:rsid w:val="00200045"/>
    <w:rsid w:val="00223495"/>
    <w:rsid w:val="00230DFB"/>
    <w:rsid w:val="00233F77"/>
    <w:rsid w:val="002423D6"/>
    <w:rsid w:val="00261151"/>
    <w:rsid w:val="00264F0B"/>
    <w:rsid w:val="0027105E"/>
    <w:rsid w:val="002736A9"/>
    <w:rsid w:val="00275B16"/>
    <w:rsid w:val="00275FD3"/>
    <w:rsid w:val="0027693E"/>
    <w:rsid w:val="00282FD5"/>
    <w:rsid w:val="002962E6"/>
    <w:rsid w:val="0029669F"/>
    <w:rsid w:val="00297700"/>
    <w:rsid w:val="002B3346"/>
    <w:rsid w:val="002C3116"/>
    <w:rsid w:val="002C37FD"/>
    <w:rsid w:val="002E1CA4"/>
    <w:rsid w:val="00300EA9"/>
    <w:rsid w:val="00303EEB"/>
    <w:rsid w:val="00304FD2"/>
    <w:rsid w:val="00317FFD"/>
    <w:rsid w:val="0032401D"/>
    <w:rsid w:val="003328CD"/>
    <w:rsid w:val="00337852"/>
    <w:rsid w:val="003421C0"/>
    <w:rsid w:val="00350C4A"/>
    <w:rsid w:val="00356F30"/>
    <w:rsid w:val="00360920"/>
    <w:rsid w:val="0036102C"/>
    <w:rsid w:val="003751F7"/>
    <w:rsid w:val="00394A40"/>
    <w:rsid w:val="003978C6"/>
    <w:rsid w:val="003C4B67"/>
    <w:rsid w:val="003C6690"/>
    <w:rsid w:val="003D0E3F"/>
    <w:rsid w:val="003E1573"/>
    <w:rsid w:val="003E19F9"/>
    <w:rsid w:val="003E734B"/>
    <w:rsid w:val="003F18CE"/>
    <w:rsid w:val="003F5FCB"/>
    <w:rsid w:val="003F671E"/>
    <w:rsid w:val="004069C1"/>
    <w:rsid w:val="00411A7E"/>
    <w:rsid w:val="00411C0A"/>
    <w:rsid w:val="00414956"/>
    <w:rsid w:val="00442B51"/>
    <w:rsid w:val="00442F3B"/>
    <w:rsid w:val="00450564"/>
    <w:rsid w:val="004536DD"/>
    <w:rsid w:val="0047282E"/>
    <w:rsid w:val="0047395D"/>
    <w:rsid w:val="00474D6D"/>
    <w:rsid w:val="004823DB"/>
    <w:rsid w:val="00487C14"/>
    <w:rsid w:val="00490371"/>
    <w:rsid w:val="00495D88"/>
    <w:rsid w:val="004A14D0"/>
    <w:rsid w:val="004C1235"/>
    <w:rsid w:val="004C702C"/>
    <w:rsid w:val="004D296E"/>
    <w:rsid w:val="004D5003"/>
    <w:rsid w:val="004D7B9A"/>
    <w:rsid w:val="004E2FCC"/>
    <w:rsid w:val="004E3B2F"/>
    <w:rsid w:val="00501E78"/>
    <w:rsid w:val="00512F57"/>
    <w:rsid w:val="0052246E"/>
    <w:rsid w:val="005271C5"/>
    <w:rsid w:val="00534FC3"/>
    <w:rsid w:val="00542593"/>
    <w:rsid w:val="0056273D"/>
    <w:rsid w:val="005650D0"/>
    <w:rsid w:val="005676C1"/>
    <w:rsid w:val="00570DC5"/>
    <w:rsid w:val="00571C7A"/>
    <w:rsid w:val="00572ACA"/>
    <w:rsid w:val="00574664"/>
    <w:rsid w:val="00574919"/>
    <w:rsid w:val="00585CD2"/>
    <w:rsid w:val="00585CEA"/>
    <w:rsid w:val="00590F7A"/>
    <w:rsid w:val="00591D61"/>
    <w:rsid w:val="005A1179"/>
    <w:rsid w:val="005A1FCF"/>
    <w:rsid w:val="005A2AB6"/>
    <w:rsid w:val="005A3B8D"/>
    <w:rsid w:val="005C16A3"/>
    <w:rsid w:val="005E08DF"/>
    <w:rsid w:val="005E4A2F"/>
    <w:rsid w:val="005E5C10"/>
    <w:rsid w:val="005F20FC"/>
    <w:rsid w:val="005F27FA"/>
    <w:rsid w:val="00600418"/>
    <w:rsid w:val="00606748"/>
    <w:rsid w:val="00612FF6"/>
    <w:rsid w:val="00620AC8"/>
    <w:rsid w:val="0063285B"/>
    <w:rsid w:val="00633011"/>
    <w:rsid w:val="00640AAC"/>
    <w:rsid w:val="00671CC2"/>
    <w:rsid w:val="006724DA"/>
    <w:rsid w:val="0067295B"/>
    <w:rsid w:val="00675F0E"/>
    <w:rsid w:val="00676835"/>
    <w:rsid w:val="00683622"/>
    <w:rsid w:val="00687E09"/>
    <w:rsid w:val="00693B6D"/>
    <w:rsid w:val="00694E09"/>
    <w:rsid w:val="006A0E32"/>
    <w:rsid w:val="006A2F3E"/>
    <w:rsid w:val="006B192A"/>
    <w:rsid w:val="006C273A"/>
    <w:rsid w:val="006E0F31"/>
    <w:rsid w:val="006E1AE9"/>
    <w:rsid w:val="006E668B"/>
    <w:rsid w:val="006F6CE8"/>
    <w:rsid w:val="00701FDD"/>
    <w:rsid w:val="00712030"/>
    <w:rsid w:val="00722EE6"/>
    <w:rsid w:val="0072391C"/>
    <w:rsid w:val="00734446"/>
    <w:rsid w:val="00744552"/>
    <w:rsid w:val="00744C51"/>
    <w:rsid w:val="007903F0"/>
    <w:rsid w:val="00796646"/>
    <w:rsid w:val="007A0BFC"/>
    <w:rsid w:val="007B5EBA"/>
    <w:rsid w:val="007C1A1B"/>
    <w:rsid w:val="007C6159"/>
    <w:rsid w:val="007C68AC"/>
    <w:rsid w:val="007D0860"/>
    <w:rsid w:val="007D1B57"/>
    <w:rsid w:val="007D77E8"/>
    <w:rsid w:val="007E044E"/>
    <w:rsid w:val="007F6203"/>
    <w:rsid w:val="00822D72"/>
    <w:rsid w:val="00850187"/>
    <w:rsid w:val="008579E3"/>
    <w:rsid w:val="0087535C"/>
    <w:rsid w:val="00881576"/>
    <w:rsid w:val="008874E3"/>
    <w:rsid w:val="0089048D"/>
    <w:rsid w:val="00894350"/>
    <w:rsid w:val="00896638"/>
    <w:rsid w:val="00896E6F"/>
    <w:rsid w:val="008A0F71"/>
    <w:rsid w:val="008A29A0"/>
    <w:rsid w:val="008B56AF"/>
    <w:rsid w:val="008B7AD9"/>
    <w:rsid w:val="008E51E0"/>
    <w:rsid w:val="008F3BDF"/>
    <w:rsid w:val="008F7F3D"/>
    <w:rsid w:val="009022E8"/>
    <w:rsid w:val="00914F17"/>
    <w:rsid w:val="00921BF6"/>
    <w:rsid w:val="00923F0F"/>
    <w:rsid w:val="0094527C"/>
    <w:rsid w:val="00947886"/>
    <w:rsid w:val="00967816"/>
    <w:rsid w:val="00970944"/>
    <w:rsid w:val="0097324F"/>
    <w:rsid w:val="00991104"/>
    <w:rsid w:val="00992500"/>
    <w:rsid w:val="009965EC"/>
    <w:rsid w:val="009A3E84"/>
    <w:rsid w:val="009A6F83"/>
    <w:rsid w:val="009A78A6"/>
    <w:rsid w:val="009B61D9"/>
    <w:rsid w:val="009B62D1"/>
    <w:rsid w:val="009B693C"/>
    <w:rsid w:val="009C7C1F"/>
    <w:rsid w:val="009D2143"/>
    <w:rsid w:val="009D472D"/>
    <w:rsid w:val="009D7E27"/>
    <w:rsid w:val="009E6066"/>
    <w:rsid w:val="00A04BE9"/>
    <w:rsid w:val="00A05506"/>
    <w:rsid w:val="00A1536D"/>
    <w:rsid w:val="00A26DE1"/>
    <w:rsid w:val="00A40448"/>
    <w:rsid w:val="00A412B5"/>
    <w:rsid w:val="00A43DD2"/>
    <w:rsid w:val="00A464C8"/>
    <w:rsid w:val="00A4711E"/>
    <w:rsid w:val="00A5010F"/>
    <w:rsid w:val="00A64B92"/>
    <w:rsid w:val="00A67FA1"/>
    <w:rsid w:val="00A763C0"/>
    <w:rsid w:val="00A860F7"/>
    <w:rsid w:val="00AA06C2"/>
    <w:rsid w:val="00AA1991"/>
    <w:rsid w:val="00AA30CC"/>
    <w:rsid w:val="00AA31C1"/>
    <w:rsid w:val="00AB52A4"/>
    <w:rsid w:val="00AB5344"/>
    <w:rsid w:val="00AC3ED5"/>
    <w:rsid w:val="00AC7CC2"/>
    <w:rsid w:val="00AD0FC7"/>
    <w:rsid w:val="00AD5A36"/>
    <w:rsid w:val="00AD61F8"/>
    <w:rsid w:val="00AE2D20"/>
    <w:rsid w:val="00B0131E"/>
    <w:rsid w:val="00B04EE9"/>
    <w:rsid w:val="00B15446"/>
    <w:rsid w:val="00B178C7"/>
    <w:rsid w:val="00B2015F"/>
    <w:rsid w:val="00B20BF8"/>
    <w:rsid w:val="00B30C08"/>
    <w:rsid w:val="00B600E9"/>
    <w:rsid w:val="00B61AC1"/>
    <w:rsid w:val="00B64A05"/>
    <w:rsid w:val="00B73186"/>
    <w:rsid w:val="00B80E8C"/>
    <w:rsid w:val="00B978AF"/>
    <w:rsid w:val="00BA1406"/>
    <w:rsid w:val="00BA72D9"/>
    <w:rsid w:val="00BB2213"/>
    <w:rsid w:val="00BB4478"/>
    <w:rsid w:val="00BB474B"/>
    <w:rsid w:val="00BB78D1"/>
    <w:rsid w:val="00BC2DF8"/>
    <w:rsid w:val="00BD3EB0"/>
    <w:rsid w:val="00BD5E07"/>
    <w:rsid w:val="00BF4489"/>
    <w:rsid w:val="00BF5D42"/>
    <w:rsid w:val="00C01C78"/>
    <w:rsid w:val="00C0236D"/>
    <w:rsid w:val="00C0766C"/>
    <w:rsid w:val="00C1527B"/>
    <w:rsid w:val="00C32A69"/>
    <w:rsid w:val="00C41402"/>
    <w:rsid w:val="00C42C8D"/>
    <w:rsid w:val="00C44B09"/>
    <w:rsid w:val="00C4705A"/>
    <w:rsid w:val="00C5154A"/>
    <w:rsid w:val="00C60518"/>
    <w:rsid w:val="00C62A4F"/>
    <w:rsid w:val="00C7744F"/>
    <w:rsid w:val="00CA6402"/>
    <w:rsid w:val="00CC0641"/>
    <w:rsid w:val="00CC3B94"/>
    <w:rsid w:val="00CC492E"/>
    <w:rsid w:val="00CD61D1"/>
    <w:rsid w:val="00CE525F"/>
    <w:rsid w:val="00CE5944"/>
    <w:rsid w:val="00CF12F7"/>
    <w:rsid w:val="00CF3CAB"/>
    <w:rsid w:val="00D14846"/>
    <w:rsid w:val="00D14D5E"/>
    <w:rsid w:val="00D35F7C"/>
    <w:rsid w:val="00D40598"/>
    <w:rsid w:val="00D5484D"/>
    <w:rsid w:val="00D6057A"/>
    <w:rsid w:val="00D90FEF"/>
    <w:rsid w:val="00D92CCC"/>
    <w:rsid w:val="00D93BE3"/>
    <w:rsid w:val="00D97777"/>
    <w:rsid w:val="00DA2AAE"/>
    <w:rsid w:val="00DA76C8"/>
    <w:rsid w:val="00DC2128"/>
    <w:rsid w:val="00DD1415"/>
    <w:rsid w:val="00DE0468"/>
    <w:rsid w:val="00DE35D9"/>
    <w:rsid w:val="00DF2A54"/>
    <w:rsid w:val="00DF539A"/>
    <w:rsid w:val="00E21C14"/>
    <w:rsid w:val="00E3376C"/>
    <w:rsid w:val="00E34F74"/>
    <w:rsid w:val="00E40EE3"/>
    <w:rsid w:val="00E4273D"/>
    <w:rsid w:val="00E4509E"/>
    <w:rsid w:val="00E53935"/>
    <w:rsid w:val="00E5621C"/>
    <w:rsid w:val="00E63553"/>
    <w:rsid w:val="00E6698C"/>
    <w:rsid w:val="00E73D1A"/>
    <w:rsid w:val="00E742FB"/>
    <w:rsid w:val="00E7435F"/>
    <w:rsid w:val="00E832A7"/>
    <w:rsid w:val="00E87911"/>
    <w:rsid w:val="00E95037"/>
    <w:rsid w:val="00E9582D"/>
    <w:rsid w:val="00EA207B"/>
    <w:rsid w:val="00EA4A1D"/>
    <w:rsid w:val="00EB291A"/>
    <w:rsid w:val="00EB2A69"/>
    <w:rsid w:val="00EB7127"/>
    <w:rsid w:val="00EC03EC"/>
    <w:rsid w:val="00ED08CF"/>
    <w:rsid w:val="00ED4693"/>
    <w:rsid w:val="00ED6B85"/>
    <w:rsid w:val="00EE00CD"/>
    <w:rsid w:val="00EE7E76"/>
    <w:rsid w:val="00EF6494"/>
    <w:rsid w:val="00F02261"/>
    <w:rsid w:val="00F03B3A"/>
    <w:rsid w:val="00F13EC1"/>
    <w:rsid w:val="00F16898"/>
    <w:rsid w:val="00F346D3"/>
    <w:rsid w:val="00F44BE1"/>
    <w:rsid w:val="00F46732"/>
    <w:rsid w:val="00F5162C"/>
    <w:rsid w:val="00F634B8"/>
    <w:rsid w:val="00F679F6"/>
    <w:rsid w:val="00F7242E"/>
    <w:rsid w:val="00F86A74"/>
    <w:rsid w:val="00FA7005"/>
    <w:rsid w:val="00FC4700"/>
    <w:rsid w:val="00FD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819AD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6748"/>
    <w:pPr>
      <w:widowControl w:val="0"/>
    </w:pPr>
    <w:rPr>
      <w:rFonts w:ascii="Garamond" w:hAnsi="Garamond"/>
      <w:sz w:val="20"/>
    </w:rPr>
  </w:style>
  <w:style w:type="paragraph" w:styleId="Heading1">
    <w:name w:val="heading 1"/>
    <w:aliases w:val="1.Kapitel"/>
    <w:basedOn w:val="Normal"/>
    <w:next w:val="Normal"/>
    <w:link w:val="Heading1Char"/>
    <w:uiPriority w:val="9"/>
    <w:qFormat/>
    <w:rsid w:val="00606748"/>
    <w:pPr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aliases w:val="2.Kapitelnamn"/>
    <w:basedOn w:val="Normal"/>
    <w:next w:val="Normal"/>
    <w:link w:val="Heading2Char"/>
    <w:uiPriority w:val="9"/>
    <w:unhideWhenUsed/>
    <w:qFormat/>
    <w:rsid w:val="00606748"/>
    <w:pPr>
      <w:spacing w:before="40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860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aliases w:val="4:1:1"/>
    <w:basedOn w:val="Normal"/>
    <w:next w:val="Normal"/>
    <w:link w:val="Heading4Char"/>
    <w:uiPriority w:val="9"/>
    <w:unhideWhenUsed/>
    <w:rsid w:val="0047282E"/>
    <w:pPr>
      <w:tabs>
        <w:tab w:val="left" w:pos="4536"/>
      </w:tabs>
      <w:overflowPunct w:val="0"/>
      <w:autoSpaceDE w:val="0"/>
      <w:autoSpaceDN w:val="0"/>
      <w:adjustRightInd w:val="0"/>
      <w:spacing w:before="120" w:after="120"/>
      <w:ind w:left="567"/>
      <w:textAlignment w:val="baseline"/>
      <w:outlineLvl w:val="3"/>
    </w:pPr>
    <w:rPr>
      <w:rFonts w:eastAsiaTheme="majorEastAsia" w:cstheme="majorBidi"/>
      <w:b/>
      <w:bCs/>
      <w:iCs/>
      <w:sz w:val="26"/>
      <w:szCs w:val="20"/>
    </w:rPr>
  </w:style>
  <w:style w:type="paragraph" w:styleId="Heading5">
    <w:name w:val="heading 5"/>
    <w:aliases w:val="3.X:X"/>
    <w:basedOn w:val="Normal"/>
    <w:next w:val="Normal"/>
    <w:link w:val="Heading5Char"/>
    <w:uiPriority w:val="9"/>
    <w:unhideWhenUsed/>
    <w:qFormat/>
    <w:rsid w:val="00A763C0"/>
    <w:pPr>
      <w:spacing w:before="40"/>
      <w:outlineLvl w:val="4"/>
    </w:pPr>
    <w:rPr>
      <w:rFonts w:eastAsiaTheme="majorEastAsia" w:cstheme="majorBidi"/>
      <w:b/>
      <w:color w:val="000000" w:themeColor="text1"/>
      <w:sz w:val="24"/>
    </w:rPr>
  </w:style>
  <w:style w:type="paragraph" w:styleId="Heading6">
    <w:name w:val="heading 6"/>
    <w:aliases w:val="4.X:X:X"/>
    <w:basedOn w:val="Normal"/>
    <w:next w:val="Normal"/>
    <w:link w:val="Heading6Char"/>
    <w:uiPriority w:val="9"/>
    <w:unhideWhenUsed/>
    <w:qFormat/>
    <w:rsid w:val="00606748"/>
    <w:pPr>
      <w:tabs>
        <w:tab w:val="left" w:pos="397"/>
      </w:tabs>
      <w:spacing w:before="40"/>
      <w:ind w:left="397"/>
      <w:outlineLvl w:val="5"/>
    </w:pPr>
    <w:rPr>
      <w:rFonts w:eastAsiaTheme="majorEastAsia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link w:val="ParagrafChar"/>
    <w:qFormat/>
    <w:rsid w:val="005F20FC"/>
    <w:pPr>
      <w:overflowPunct w:val="0"/>
      <w:autoSpaceDE w:val="0"/>
      <w:autoSpaceDN w:val="0"/>
      <w:adjustRightInd w:val="0"/>
      <w:textAlignment w:val="baseline"/>
    </w:pPr>
    <w:rPr>
      <w:rFonts w:eastAsia="Times New Roman" w:cs="Lucida Sans Unicode"/>
      <w:sz w:val="24"/>
      <w:szCs w:val="18"/>
    </w:rPr>
  </w:style>
  <w:style w:type="character" w:customStyle="1" w:styleId="ParagrafChar">
    <w:name w:val="Paragraf Char"/>
    <w:basedOn w:val="DefaultParagraphFont"/>
    <w:link w:val="Paragraf"/>
    <w:rsid w:val="005F20FC"/>
    <w:rPr>
      <w:rFonts w:ascii="Garamond" w:eastAsia="Times New Roman" w:hAnsi="Garamond" w:cs="Lucida Sans Unicode"/>
      <w:szCs w:val="18"/>
    </w:rPr>
  </w:style>
  <w:style w:type="paragraph" w:styleId="ListParagraph">
    <w:name w:val="List Paragraph"/>
    <w:basedOn w:val="Normal"/>
    <w:uiPriority w:val="34"/>
    <w:qFormat/>
    <w:rsid w:val="0036102C"/>
    <w:pPr>
      <w:ind w:left="720"/>
      <w:contextualSpacing/>
    </w:pPr>
  </w:style>
  <w:style w:type="character" w:customStyle="1" w:styleId="Heading4Char">
    <w:name w:val="Heading 4 Char"/>
    <w:aliases w:val="4:1:1 Char"/>
    <w:basedOn w:val="DefaultParagraphFont"/>
    <w:link w:val="Heading4"/>
    <w:uiPriority w:val="9"/>
    <w:rsid w:val="0047282E"/>
    <w:rPr>
      <w:rFonts w:ascii="Garamond" w:eastAsiaTheme="majorEastAsia" w:hAnsi="Garamond" w:cstheme="majorBidi"/>
      <w:b/>
      <w:bCs/>
      <w:iCs/>
      <w:sz w:val="26"/>
      <w:szCs w:val="20"/>
    </w:rPr>
  </w:style>
  <w:style w:type="character" w:customStyle="1" w:styleId="Heading5Char">
    <w:name w:val="Heading 5 Char"/>
    <w:aliases w:val="3.X:X Char"/>
    <w:basedOn w:val="DefaultParagraphFont"/>
    <w:link w:val="Heading5"/>
    <w:uiPriority w:val="9"/>
    <w:rsid w:val="00A763C0"/>
    <w:rPr>
      <w:rFonts w:ascii="Garamond" w:eastAsiaTheme="majorEastAsia" w:hAnsi="Garamond" w:cstheme="majorBidi"/>
      <w:b/>
      <w:color w:val="000000" w:themeColor="text1"/>
    </w:rPr>
  </w:style>
  <w:style w:type="paragraph" w:customStyle="1" w:styleId="Default">
    <w:name w:val="Default"/>
    <w:rsid w:val="006B192A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Heading1Char">
    <w:name w:val="Heading 1 Char"/>
    <w:aliases w:val="1.Kapitel Char"/>
    <w:basedOn w:val="DefaultParagraphFont"/>
    <w:link w:val="Heading1"/>
    <w:uiPriority w:val="9"/>
    <w:rsid w:val="00606748"/>
    <w:rPr>
      <w:rFonts w:ascii="Garamond" w:eastAsiaTheme="majorEastAsia" w:hAnsi="Garamond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aliases w:val="2.Kapitelnamn Char"/>
    <w:basedOn w:val="DefaultParagraphFont"/>
    <w:link w:val="Heading2"/>
    <w:uiPriority w:val="9"/>
    <w:rsid w:val="00606748"/>
    <w:rPr>
      <w:rFonts w:ascii="Garamond" w:eastAsiaTheme="majorEastAsia" w:hAnsi="Garamond" w:cstheme="majorBidi"/>
      <w:b/>
      <w:color w:val="000000" w:themeColor="text1"/>
      <w:sz w:val="36"/>
      <w:szCs w:val="26"/>
    </w:rPr>
  </w:style>
  <w:style w:type="character" w:customStyle="1" w:styleId="Heading6Char">
    <w:name w:val="Heading 6 Char"/>
    <w:aliases w:val="4.X:X:X Char"/>
    <w:basedOn w:val="DefaultParagraphFont"/>
    <w:link w:val="Heading6"/>
    <w:uiPriority w:val="9"/>
    <w:rsid w:val="00606748"/>
    <w:rPr>
      <w:rFonts w:ascii="Garamond" w:eastAsiaTheme="majorEastAsia" w:hAnsi="Garamond" w:cstheme="majorBidi"/>
      <w:b/>
      <w:color w:val="000000" w:themeColor="text1"/>
    </w:rPr>
  </w:style>
  <w:style w:type="paragraph" w:styleId="Title">
    <w:name w:val="Title"/>
    <w:aliases w:val="5.X:X:X:X"/>
    <w:basedOn w:val="Normal"/>
    <w:next w:val="Normal"/>
    <w:link w:val="TitleChar"/>
    <w:uiPriority w:val="10"/>
    <w:qFormat/>
    <w:rsid w:val="007C68AC"/>
    <w:pPr>
      <w:tabs>
        <w:tab w:val="left" w:pos="794"/>
      </w:tabs>
      <w:ind w:left="794"/>
      <w:contextualSpacing/>
    </w:pPr>
    <w:rPr>
      <w:rFonts w:eastAsiaTheme="majorEastAsia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TitleChar">
    <w:name w:val="Title Char"/>
    <w:aliases w:val="5.X:X:X:X Char"/>
    <w:basedOn w:val="DefaultParagraphFont"/>
    <w:link w:val="Title"/>
    <w:uiPriority w:val="10"/>
    <w:rsid w:val="007C68AC"/>
    <w:rPr>
      <w:rFonts w:ascii="Garamond" w:eastAsiaTheme="majorEastAsia" w:hAnsi="Garamond" w:cstheme="majorBidi"/>
      <w:b/>
      <w:color w:val="000000" w:themeColor="text1"/>
      <w:spacing w:val="-10"/>
      <w:kern w:val="28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26B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BB4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BB4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B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BB4"/>
    <w:rPr>
      <w:rFonts w:ascii="Garamond" w:hAnsi="Garamon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B4"/>
    <w:rPr>
      <w:rFonts w:ascii="Times New Roman" w:hAnsi="Times New Roman" w:cs="Times New Roman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B291A"/>
    <w:pPr>
      <w:spacing w:before="480" w:line="276" w:lineRule="auto"/>
      <w:outlineLvl w:val="9"/>
    </w:pPr>
    <w:rPr>
      <w:bCs/>
      <w:sz w:val="28"/>
      <w:szCs w:val="28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5271C5"/>
    <w:pPr>
      <w:tabs>
        <w:tab w:val="right" w:leader="dot" w:pos="9056"/>
      </w:tabs>
      <w:spacing w:before="240" w:after="120"/>
    </w:pPr>
    <w:rPr>
      <w:rFonts w:cstheme="minorHAnsi"/>
      <w:b/>
      <w:bC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271C5"/>
    <w:pPr>
      <w:tabs>
        <w:tab w:val="right" w:leader="dot" w:pos="9056"/>
      </w:tabs>
      <w:spacing w:before="120"/>
      <w:ind w:left="799"/>
    </w:pPr>
    <w:rPr>
      <w:rFonts w:cstheme="minorHAnsi"/>
      <w:iCs/>
      <w:noProof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239E2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239E2"/>
    <w:pPr>
      <w:ind w:left="400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239E2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239E2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239E2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239E2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239E2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239E2"/>
    <w:pPr>
      <w:ind w:left="1600"/>
    </w:pPr>
    <w:rPr>
      <w:rFonts w:asciiTheme="minorHAnsi" w:hAnsiTheme="minorHAnsi" w:cstheme="minorHAnsi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2128"/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12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A2F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F3E"/>
    <w:rPr>
      <w:rFonts w:ascii="Garamond" w:hAnsi="Garamond"/>
      <w:sz w:val="20"/>
    </w:rPr>
  </w:style>
  <w:style w:type="paragraph" w:styleId="Footer">
    <w:name w:val="footer"/>
    <w:basedOn w:val="Normal"/>
    <w:link w:val="FooterChar"/>
    <w:uiPriority w:val="99"/>
    <w:unhideWhenUsed/>
    <w:rsid w:val="006A2F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F3E"/>
    <w:rPr>
      <w:rFonts w:ascii="Garamond" w:hAnsi="Garamond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860F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semiHidden/>
    <w:rsid w:val="00350C4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50C4A"/>
    <w:rPr>
      <w:rFonts w:ascii="Garamond" w:eastAsia="Times New Roman" w:hAnsi="Garamond" w:cs="Times New Roman"/>
      <w:sz w:val="20"/>
      <w:szCs w:val="20"/>
    </w:rPr>
  </w:style>
  <w:style w:type="table" w:styleId="GridTable2">
    <w:name w:val="Grid Table 2"/>
    <w:basedOn w:val="TableNormal"/>
    <w:uiPriority w:val="99"/>
    <w:rsid w:val="00350C4A"/>
    <w:rPr>
      <w:rFonts w:ascii="Calibri" w:eastAsia="Calibri" w:hAnsi="Calibri" w:cs="Times New Roman"/>
      <w:lang w:eastAsia="sv-S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link w:val="NoSpacingChar"/>
    <w:uiPriority w:val="1"/>
    <w:rsid w:val="00D35F7C"/>
    <w:rPr>
      <w:rFonts w:ascii="Garamond" w:hAnsi="Garamond"/>
      <w:sz w:val="20"/>
    </w:rPr>
  </w:style>
  <w:style w:type="character" w:styleId="PlaceholderText">
    <w:name w:val="Placeholder Text"/>
    <w:basedOn w:val="DefaultParagraphFont"/>
    <w:uiPriority w:val="99"/>
    <w:semiHidden/>
    <w:rsid w:val="004536DD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00418"/>
    <w:rPr>
      <w:rFonts w:ascii="Garamond" w:hAnsi="Garamond"/>
      <w:sz w:val="20"/>
    </w:rPr>
  </w:style>
  <w:style w:type="paragraph" w:customStyle="1" w:styleId="NoteLevel1">
    <w:name w:val="Note Level 1"/>
    <w:basedOn w:val="Normal"/>
    <w:uiPriority w:val="99"/>
    <w:rsid w:val="00EB291A"/>
    <w:pPr>
      <w:keepNext/>
      <w:numPr>
        <w:numId w:val="21"/>
      </w:numPr>
      <w:contextualSpacing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1C5218-589F-4325-A884-E492BFB5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5</Pages>
  <Words>780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Bogren</dc:creator>
  <cp:keywords/>
  <dc:description/>
  <cp:lastModifiedBy>daniel nilsson</cp:lastModifiedBy>
  <cp:revision>36</cp:revision>
  <cp:lastPrinted>2018-09-23T12:08:00Z</cp:lastPrinted>
  <dcterms:created xsi:type="dcterms:W3CDTF">2018-09-04T13:44:00Z</dcterms:created>
  <dcterms:modified xsi:type="dcterms:W3CDTF">2021-09-27T13:16:00Z</dcterms:modified>
</cp:coreProperties>
</file>